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p w:rsidR="00A76DC5" w:rsidRPr="00574C39" w14:paraId="28FDB362" w14:textId="5F3CA874">
      <w:pPr>
        <w:pStyle w:val="RefAgency"/>
        <w:tabs>
          <w:tab w:val="left" w:pos="1277"/>
        </w:tabs>
      </w:pPr>
      <w:r w:rsidRPr="00574C39">
        <w:fldChar w:fldCharType="begin"/>
      </w:r>
      <w:r w:rsidRPr="00574C39">
        <w:instrText xml:space="preserve"> CREATEDATE  \@ "d MMMM yyyy"  \* MERGEFORMAT </w:instrText>
      </w:r>
      <w:r w:rsidRPr="00574C39">
        <w:fldChar w:fldCharType="separate"/>
      </w:r>
      <w:r w:rsidRPr="00574C39" w:rsidR="003B75E8">
        <w:t>24 November 2020</w:t>
      </w:r>
      <w:r w:rsidRPr="00574C39">
        <w:fldChar w:fldCharType="end"/>
      </w:r>
    </w:p>
    <w:p w:rsidR="008F1AD8" w:rsidRPr="00574C39" w:rsidP="00A76DC5" w14:paraId="27D78A60" w14:textId="77777777">
      <w:pPr>
        <w:pStyle w:val="BodytextAgency"/>
        <w:rPr>
          <w:szCs w:val="15"/>
        </w:rPr>
      </w:pPr>
      <w:r w:rsidRPr="00574C39">
        <w:rPr>
          <w:szCs w:val="15"/>
        </w:rPr>
        <w:fldChar w:fldCharType="begin"/>
      </w:r>
      <w:r w:rsidRPr="00574C39">
        <w:rPr>
          <w:szCs w:val="15"/>
        </w:rPr>
        <w:instrText xml:space="preserve"> IF </w:instrText>
      </w:r>
      <w:r w:rsidRPr="00574C39">
        <w:fldChar w:fldCharType="begin"/>
      </w:r>
      <w:r>
        <w:instrText xml:space="preserve"> DOCPROPERTY "DM_emea_doc_ref_id"  \* MERGEFORMAT </w:instrText>
      </w:r>
      <w:r w:rsidRPr="00574C39">
        <w:fldChar w:fldCharType="separate"/>
      </w:r>
      <w:r w:rsidRPr="00574C39">
        <w:rPr>
          <w:b/>
          <w:bCs/>
        </w:rPr>
        <w:instrText>EMA/634278/2020</w:instrText>
      </w:r>
      <w:r w:rsidRPr="00574C39">
        <w:rPr>
          <w:b/>
          <w:bCs/>
        </w:rPr>
        <w:fldChar w:fldCharType="end"/>
      </w:r>
      <w:r w:rsidRPr="00574C39">
        <w:rPr>
          <w:szCs w:val="15"/>
        </w:rPr>
        <w:instrText xml:space="preserve"> &lt;&gt; "Error*"</w:instrText>
      </w:r>
      <w:r w:rsidRPr="00574C39">
        <w:fldChar w:fldCharType="begin"/>
      </w:r>
      <w:r>
        <w:instrText xml:space="preserve"> DOCPROPERTY "DM_emea_doc_ref_id"  \* MERGEFORMAT </w:instrText>
      </w:r>
      <w:r w:rsidRPr="00574C39">
        <w:fldChar w:fldCharType="separate"/>
      </w:r>
      <w:r w:rsidRPr="00574C39">
        <w:instrText>EMA/634278/2020</w:instrText>
      </w:r>
      <w:r w:rsidRPr="00574C39">
        <w:fldChar w:fldCharType="end"/>
      </w:r>
      <w:r w:rsidRPr="00574C39">
        <w:rPr>
          <w:szCs w:val="15"/>
        </w:rPr>
        <w:instrText xml:space="preserve"> \* MERGEFORMAT </w:instrText>
      </w:r>
      <w:r w:rsidRPr="00574C39">
        <w:rPr>
          <w:szCs w:val="15"/>
        </w:rPr>
        <w:fldChar w:fldCharType="separate"/>
      </w:r>
      <w:r w:rsidRPr="00574C39">
        <w:t>EMA/634278/2020</w:t>
      </w:r>
      <w:r w:rsidRPr="00574C39">
        <w:rPr>
          <w:szCs w:val="15"/>
        </w:rPr>
        <w:fldChar w:fldCharType="end"/>
      </w:r>
    </w:p>
    <w:p w:rsidR="00A76DC5" w:rsidRPr="00574C39" w14:paraId="12E43B33" w14:textId="77777777">
      <w:pPr>
        <w:pStyle w:val="RefAgency"/>
        <w:tabs>
          <w:tab w:val="left" w:pos="1287"/>
        </w:tabs>
        <w:rPr>
          <w:rFonts w:eastAsia="Verdana" w:cs="Verdana"/>
          <w:sz w:val="18"/>
        </w:rPr>
      </w:pPr>
      <w:r w:rsidRPr="00574C39">
        <w:rPr>
          <w:rFonts w:eastAsia="Verdana" w:cs="Verdana"/>
          <w:sz w:val="18"/>
        </w:rPr>
        <w:t xml:space="preserve">Biological Health Threats and Vaccines strategy </w:t>
      </w:r>
      <w:r w:rsidR="006B300A">
        <w:rPr>
          <w:rFonts w:eastAsia="Verdana" w:cs="Verdana"/>
          <w:sz w:val="18"/>
        </w:rPr>
        <w:t xml:space="preserve">Office </w:t>
      </w:r>
      <w:r w:rsidRPr="00574C39">
        <w:rPr>
          <w:rFonts w:eastAsia="Verdana" w:cs="Verdana"/>
          <w:sz w:val="18"/>
        </w:rPr>
        <w:t>(HTV)</w:t>
      </w:r>
    </w:p>
    <w:p w:rsidR="00835E21" w:rsidRPr="00574C39" w:rsidP="00735C35" w14:paraId="58BFE174" w14:textId="77777777">
      <w:pPr>
        <w:pStyle w:val="DoctitleAgency"/>
      </w:pPr>
      <w:r w:rsidRPr="00574C39">
        <w:t xml:space="preserve">Summary of the </w:t>
      </w:r>
      <w:r w:rsidRPr="00574C39" w:rsidR="008E223D">
        <w:t>ETF</w:t>
      </w:r>
      <w:r w:rsidRPr="00574C39" w:rsidR="0083504D">
        <w:t xml:space="preserve"> meeting on </w:t>
      </w:r>
      <w:r w:rsidRPr="00574C39">
        <w:t xml:space="preserve">vaccines </w:t>
      </w:r>
      <w:r w:rsidRPr="00574C39" w:rsidR="0083504D">
        <w:t>against COVID-19</w:t>
      </w:r>
    </w:p>
    <w:p w:rsidR="00795FF1" w:rsidRPr="00574C39" w:rsidP="00795FF1" w14:paraId="5438F562" w14:textId="77777777">
      <w:pPr>
        <w:pStyle w:val="DocsubtitleAgency"/>
      </w:pPr>
      <w:r w:rsidRPr="00574C39">
        <w:t>2</w:t>
      </w:r>
      <w:r w:rsidRPr="00574C39" w:rsidR="003B75E8">
        <w:t>6</w:t>
      </w:r>
      <w:r w:rsidRPr="00574C39">
        <w:rPr>
          <w:vertAlign w:val="superscript"/>
        </w:rPr>
        <w:t>th</w:t>
      </w:r>
      <w:r w:rsidRPr="00574C39">
        <w:t xml:space="preserve"> November </w:t>
      </w:r>
      <w:r w:rsidRPr="00574C39" w:rsidR="008803C9">
        <w:t>2020 @ 11:</w:t>
      </w:r>
      <w:r w:rsidRPr="00574C39">
        <w:t>0</w:t>
      </w:r>
      <w:r w:rsidRPr="00574C39" w:rsidR="008803C9">
        <w:t xml:space="preserve">0 CET time – ROOM </w:t>
      </w:r>
      <w:r w:rsidRPr="00574C39">
        <w:t>07/A</w:t>
      </w:r>
      <w:r w:rsidRPr="00574C39" w:rsidR="009459D9">
        <w:t xml:space="preserve"> </w:t>
      </w:r>
      <w:r w:rsidRPr="00574C39" w:rsidR="008803C9">
        <w:t>at EMA</w:t>
      </w:r>
    </w:p>
    <w:p w:rsidR="00735C35" w:rsidRPr="00574C39" w:rsidP="00735C35" w14:paraId="282A8D11" w14:textId="77777777">
      <w:pPr>
        <w:pStyle w:val="DocsubtitleAgency"/>
      </w:pPr>
      <w:r w:rsidRPr="00574C39">
        <w:rPr>
          <w:b/>
          <w:bCs/>
        </w:rPr>
        <w:t>Chair:</w:t>
      </w:r>
      <w:r w:rsidRPr="00574C39">
        <w:t xml:space="preserve"> Marco Cavaleri</w:t>
      </w:r>
    </w:p>
    <w:p w:rsidR="006935FB" w:rsidRPr="00574C39" w:rsidP="006935FB" w14:paraId="03727E33" w14:textId="77777777">
      <w:pPr>
        <w:pStyle w:val="Heading3Agency"/>
      </w:pPr>
      <w:r w:rsidRPr="00574C39">
        <w:t>1. Declarations of Interest</w:t>
      </w:r>
    </w:p>
    <w:p w:rsidR="006935FB" w:rsidRPr="00574C39" w:rsidP="006935FB" w14:paraId="5A6026C5" w14:textId="77777777">
      <w:pPr>
        <w:pStyle w:val="ParagraphAgencyNEW"/>
        <w:ind w:left="0"/>
        <w:rPr>
          <w:color w:val="000000"/>
        </w:rPr>
      </w:pPr>
      <w:r w:rsidRPr="00574C39">
        <w:rPr>
          <w:color w:val="000000"/>
        </w:rPr>
        <w:t xml:space="preserve">The </w:t>
      </w:r>
      <w:r w:rsidRPr="00574C39">
        <w:rPr>
          <w:color w:val="000000"/>
        </w:rPr>
        <w:t>Chairperson opened the 2</w:t>
      </w:r>
      <w:r w:rsidRPr="00574C39" w:rsidR="003B75E8">
        <w:rPr>
          <w:color w:val="000000"/>
        </w:rPr>
        <w:t>6</w:t>
      </w:r>
      <w:r w:rsidRPr="00574C39">
        <w:rPr>
          <w:color w:val="000000"/>
          <w:vertAlign w:val="superscript"/>
        </w:rPr>
        <w:t>th</w:t>
      </w:r>
      <w:r w:rsidRPr="00574C39">
        <w:rPr>
          <w:color w:val="000000"/>
        </w:rPr>
        <w:t xml:space="preserve"> November 2020 meeting by welcoming all participants.</w:t>
      </w:r>
    </w:p>
    <w:p w:rsidR="006935FB" w:rsidRPr="00574C39" w:rsidP="006935FB" w14:paraId="35BC2EE8" w14:textId="77777777">
      <w:pPr>
        <w:pStyle w:val="ParagraphAgencyNEW"/>
        <w:ind w:left="0"/>
        <w:rPr>
          <w:color w:val="000000"/>
        </w:rPr>
      </w:pPr>
      <w:r w:rsidRPr="00574C39">
        <w:rPr>
          <w:color w:val="000000"/>
        </w:rPr>
        <w:t xml:space="preserve">Based on the declarations of interest submitted by the ETF members and experts and based on the topics in the agenda of the current meeting, the ETF Secretariat announced the </w:t>
      </w:r>
      <w:r w:rsidRPr="00574C39">
        <w:rPr>
          <w:color w:val="000000"/>
        </w:rPr>
        <w:t>restricted involvement of some members and experts in upcoming discussions; in accordance with the Agency’s policy on the handling of conflicts of interests, participants in this meeting were asked to declare any changes, omissions or errors to their decla</w:t>
      </w:r>
      <w:r w:rsidRPr="00574C39">
        <w:rPr>
          <w:color w:val="000000"/>
        </w:rPr>
        <w:t>red interests concerning the matters for discussion (see  Annex I – List of participants). No new or additional conflicts were declared.</w:t>
      </w:r>
    </w:p>
    <w:p w:rsidR="006935FB" w:rsidRPr="00574C39" w:rsidP="006935FB" w14:paraId="0F603DDF" w14:textId="77777777">
      <w:pPr>
        <w:pStyle w:val="BodytextAgency"/>
        <w:rPr>
          <w:color w:val="000000"/>
        </w:rPr>
      </w:pPr>
      <w:r w:rsidRPr="00574C39">
        <w:rPr>
          <w:color w:val="000000"/>
        </w:rPr>
        <w:t>Discussions took place in full respect of the restricted involvement of ETF members and experts in line with the releva</w:t>
      </w:r>
      <w:r w:rsidRPr="00574C39">
        <w:rPr>
          <w:color w:val="000000"/>
        </w:rPr>
        <w:t xml:space="preserve">nt provisions of the </w:t>
      </w:r>
      <w:r>
        <w:fldChar w:fldCharType="begin"/>
      </w:r>
      <w:r>
        <w:instrText xml:space="preserve"> HYPERLINK "https://www.ema.europa.eu/en/documents/other/mandate-objectives-rules-procedure-covid-19-ema-pandemic-task-force-covid-etf_en.pdf" </w:instrText>
      </w:r>
      <w:r>
        <w:fldChar w:fldCharType="separate"/>
      </w:r>
      <w:r w:rsidRPr="00574C39">
        <w:rPr>
          <w:rStyle w:val="Hyperlink"/>
        </w:rPr>
        <w:t>Rules of Procedure</w:t>
      </w:r>
      <w:r>
        <w:fldChar w:fldCharType="end"/>
      </w:r>
      <w:r w:rsidRPr="00574C39">
        <w:rPr>
          <w:color w:val="000000"/>
        </w:rPr>
        <w:t>.</w:t>
      </w:r>
    </w:p>
    <w:p w:rsidR="006935FB" w:rsidRPr="00574C39" w:rsidP="006935FB" w14:paraId="7A324157" w14:textId="77777777">
      <w:pPr>
        <w:pStyle w:val="Heading3Agency"/>
      </w:pPr>
      <w:r w:rsidRPr="00574C39">
        <w:t>2. Summary</w:t>
      </w:r>
    </w:p>
    <w:p w:rsidR="00185FC2" w:rsidP="003B75E8" w14:paraId="7501A2AF" w14:textId="77777777">
      <w:pPr>
        <w:pStyle w:val="Heading3Agency"/>
        <w:rPr>
          <w:i/>
          <w:sz w:val="18"/>
          <w:szCs w:val="18"/>
        </w:rPr>
      </w:pPr>
      <w:r w:rsidRPr="008059ED">
        <w:rPr>
          <w:i/>
          <w:sz w:val="18"/>
          <w:szCs w:val="18"/>
        </w:rPr>
        <w:t xml:space="preserve">Ad26.COV2.S </w:t>
      </w:r>
      <w:r>
        <w:rPr>
          <w:i/>
          <w:sz w:val="18"/>
          <w:szCs w:val="18"/>
        </w:rPr>
        <w:t>Janssen Vaccine – assessment of the evidence r</w:t>
      </w:r>
      <w:r>
        <w:rPr>
          <w:i/>
          <w:sz w:val="18"/>
          <w:szCs w:val="18"/>
        </w:rPr>
        <w:t xml:space="preserve">equired for the Start of the Rolling Review </w:t>
      </w:r>
    </w:p>
    <w:p w:rsidR="00185FC2" w:rsidP="00185FC2" w14:paraId="5ACB0BFC" w14:textId="77777777">
      <w:pPr>
        <w:pStyle w:val="BodytextAgency"/>
      </w:pPr>
      <w:r w:rsidRPr="008059ED">
        <w:t>Demonstration of the proof of principle (non-clinical</w:t>
      </w:r>
      <w:r w:rsidR="006B300A">
        <w:t xml:space="preserve"> studies</w:t>
      </w:r>
      <w:r w:rsidRPr="008059ED">
        <w:t xml:space="preserve"> including </w:t>
      </w:r>
      <w:r>
        <w:t xml:space="preserve">results from </w:t>
      </w:r>
      <w:r w:rsidRPr="008059ED">
        <w:t xml:space="preserve">challenge </w:t>
      </w:r>
      <w:r>
        <w:t>studies in</w:t>
      </w:r>
      <w:r w:rsidRPr="008059ED">
        <w:t xml:space="preserve"> </w:t>
      </w:r>
      <w:r w:rsidR="006B300A">
        <w:t xml:space="preserve">hamsters and NHPs), </w:t>
      </w:r>
      <w:r w:rsidRPr="008059ED">
        <w:t>and proof of concept (clinical immunogenicity</w:t>
      </w:r>
      <w:r>
        <w:t xml:space="preserve"> preliminary results from phase 1/2a stu</w:t>
      </w:r>
      <w:r>
        <w:t>dy COV1001</w:t>
      </w:r>
      <w:r w:rsidRPr="008059ED">
        <w:t>, neutralising antibodies</w:t>
      </w:r>
      <w:r>
        <w:t xml:space="preserve"> and tolerability acceptable</w:t>
      </w:r>
      <w:r w:rsidRPr="008059ED">
        <w:t>) justify the start of the rolling review.</w:t>
      </w:r>
      <w:r w:rsidR="00FD65AC">
        <w:t xml:space="preserve"> Additional data with the same platform carrying different antigens is considered supportive.</w:t>
      </w:r>
    </w:p>
    <w:p w:rsidR="008059ED" w:rsidRPr="00185FC2" w:rsidP="00185FC2" w14:paraId="3A97987E" w14:textId="77777777">
      <w:pPr>
        <w:pStyle w:val="BodytextAgency"/>
      </w:pPr>
      <w:r>
        <w:t xml:space="preserve">The ETF </w:t>
      </w:r>
      <w:r w:rsidR="00FD65AC">
        <w:t>agrees</w:t>
      </w:r>
      <w:r>
        <w:t xml:space="preserve"> with the (co)Rapporteurs.</w:t>
      </w:r>
    </w:p>
    <w:p w:rsidR="003B75E8" w:rsidRPr="00574C39" w:rsidP="003B75E8" w14:paraId="64C1DA5C" w14:textId="77777777">
      <w:pPr>
        <w:pStyle w:val="Heading3Agency"/>
        <w:rPr>
          <w:i/>
          <w:sz w:val="18"/>
          <w:szCs w:val="18"/>
        </w:rPr>
      </w:pPr>
      <w:r w:rsidRPr="00574C39">
        <w:rPr>
          <w:i/>
          <w:sz w:val="18"/>
          <w:szCs w:val="18"/>
        </w:rPr>
        <w:t>COVID-19 vaccine</w:t>
      </w:r>
      <w:r w:rsidRPr="00574C39">
        <w:rPr>
          <w:i/>
          <w:sz w:val="18"/>
          <w:szCs w:val="18"/>
        </w:rPr>
        <w:t xml:space="preserve"> (recombinant, adjuvanted) (Sanofi) - EMA/SA/0000047681 - recombinant protein derived from the SARS-CoV-2 prefusion Spike delta TM protein for the prevention of COVID-19 disease </w:t>
      </w:r>
    </w:p>
    <w:p w:rsidR="00C11011" w:rsidRPr="00574C39" w:rsidP="00C11011" w14:paraId="7BE2EB49" w14:textId="77777777">
      <w:pPr>
        <w:pStyle w:val="BodytextAgency"/>
      </w:pPr>
      <w:r w:rsidRPr="00574C39">
        <w:t>The Sanofi COVID-19 vaccine is a recombinant, AS03 adjuvanted vaccine contain</w:t>
      </w:r>
      <w:r w:rsidRPr="00574C39">
        <w:t xml:space="preserve">ing the Spike delta TM protein derived from the SARS CoV2 in a </w:t>
      </w:r>
      <w:r w:rsidRPr="00574C39">
        <w:rPr>
          <w:color w:val="000000" w:themeColor="text1"/>
        </w:rPr>
        <w:t>stabilized prefusion trimer</w:t>
      </w:r>
      <w:r w:rsidRPr="00574C39">
        <w:t xml:space="preserve"> conformation. The CoV2 preS dTM</w:t>
      </w:r>
      <w:r w:rsidRPr="00574C39">
        <w:t xml:space="preserve"> Drug Product will be mixed at bedside with adjuvant AS03, supplied by GlaxoSmithKline to prepare an intramuscular injection. The applicant posed 2 non-clinical questions.</w:t>
      </w:r>
    </w:p>
    <w:p w:rsidR="00C11011" w:rsidRPr="00574C39" w:rsidP="00443D4A" w14:paraId="4B6956FD" w14:textId="77777777">
      <w:pPr>
        <w:pStyle w:val="BodytextAgency"/>
      </w:pPr>
      <w:r w:rsidRPr="00574C39">
        <w:t>To support the Phase I/II clinical study (VAT00001) dedicated to the prophylactic ap</w:t>
      </w:r>
      <w:r w:rsidRPr="00574C39">
        <w:t>plication of CoV2 preS dTM plus AS03, or CoV2 preS dTM plus AF03, a comprehensive pharmacology and toxicology program has been developed to evaluate the immunogenicity and nonclinical safety profiles of the SARS-CoV-2 Recombinant Protein Vaccine Formulatio</w:t>
      </w:r>
      <w:r w:rsidRPr="00574C39">
        <w:t>ns. After two injections, the vaccine immune responses were demonstrated in several species (mice, rhesus and hamsters).</w:t>
      </w:r>
      <w:r w:rsidRPr="00574C39" w:rsidR="00574C39">
        <w:t xml:space="preserve"> To support the first administration to human with the adjuvanted CoV-2 preS  dTM vaccine with AF03 or AS03, a repeated dose toxicity study was conducted in rabbits showing no unexpected effects.</w:t>
      </w:r>
    </w:p>
    <w:p w:rsidR="00574C39" w:rsidRPr="00574C39" w:rsidP="00574C39" w14:paraId="233B1156" w14:textId="77777777">
      <w:pPr>
        <w:pStyle w:val="BodytextAgency"/>
      </w:pPr>
      <w:r w:rsidRPr="00574C39">
        <w:t>To support Phase III clinical efficacy study (VAT00002) dedicated to the prophylactic application of CoV-2 preS dTM plus AS03, the vaccine efficacy is currently assessed in NHP and in hamster chal</w:t>
      </w:r>
      <w:r w:rsidRPr="00574C39">
        <w:t>lenge models.</w:t>
      </w:r>
    </w:p>
    <w:p w:rsidR="00574C39" w:rsidRPr="00574C39" w:rsidP="00574C39" w14:paraId="2C14D986" w14:textId="77777777">
      <w:pPr>
        <w:pStyle w:val="BodytextAgency"/>
      </w:pPr>
      <w:r w:rsidRPr="00574C39">
        <w:t>In addition to the pharmaceutical parameters measured on both Phase I/II and Phase III batches, the potential impact of the process changes will be assessed in an immuno-bridging study in NHPs comparing Phase I/II and Phase III vaccine batche</w:t>
      </w:r>
      <w:r w:rsidRPr="00574C39">
        <w:t xml:space="preserve">s. </w:t>
      </w:r>
    </w:p>
    <w:p w:rsidR="00C11011" w:rsidRPr="00574C39" w:rsidP="00574C39" w14:paraId="36E9B5E2" w14:textId="77777777">
      <w:pPr>
        <w:pStyle w:val="BodytextAgency"/>
      </w:pPr>
      <w:r w:rsidRPr="00574C39">
        <w:t>Additionally, a second repeated dose toxicity study (Study No. 5003591) will be conducted with two IM injections (i.e., same number as in human), two weeks apart, in NZW rabbits, using a Phase III batch to support the bridging study between formulation</w:t>
      </w:r>
      <w:r w:rsidRPr="00574C39">
        <w:t>s tested in Phase I/II trial and those to be tested in Phase III clinical trials.</w:t>
      </w:r>
    </w:p>
    <w:p w:rsidR="007301B1" w:rsidRPr="007301B1" w:rsidP="00443D4A" w14:paraId="3EF36E87" w14:textId="77777777">
      <w:pPr>
        <w:pStyle w:val="BodytextAgency"/>
        <w:rPr>
          <w:b/>
          <w:bCs/>
        </w:rPr>
      </w:pPr>
      <w:r w:rsidRPr="007301B1">
        <w:rPr>
          <w:b/>
          <w:bCs/>
        </w:rPr>
        <w:t>Question 1</w:t>
      </w:r>
      <w:r>
        <w:rPr>
          <w:b/>
          <w:bCs/>
        </w:rPr>
        <w:t xml:space="preserve"> -</w:t>
      </w:r>
      <w:r w:rsidRPr="007301B1">
        <w:rPr>
          <w:b/>
          <w:bCs/>
        </w:rPr>
        <w:t xml:space="preserve"> Does EMA agree with the proposed nonclinical safety program?</w:t>
      </w:r>
    </w:p>
    <w:p w:rsidR="00443D4A" w:rsidRPr="00574C39" w:rsidP="00443D4A" w14:paraId="1BE3F934" w14:textId="77777777">
      <w:pPr>
        <w:pStyle w:val="BodytextAgency"/>
      </w:pPr>
      <w:r>
        <w:t>T</w:t>
      </w:r>
      <w:r w:rsidRPr="00574C39" w:rsidR="00574C39">
        <w:t xml:space="preserve">he presented non-clinical </w:t>
      </w:r>
      <w:r w:rsidRPr="00574C39">
        <w:t>program</w:t>
      </w:r>
      <w:r w:rsidR="00574C39">
        <w:t>me</w:t>
      </w:r>
      <w:r w:rsidRPr="00574C39">
        <w:t xml:space="preserve"> </w:t>
      </w:r>
      <w:r w:rsidR="00574C39">
        <w:t>is considered acceptable by both coordinators as well as the ETF</w:t>
      </w:r>
      <w:r w:rsidRPr="00574C39">
        <w:t xml:space="preserve">. </w:t>
      </w:r>
      <w:r w:rsidR="00574C39">
        <w:t xml:space="preserve">The </w:t>
      </w:r>
      <w:r w:rsidRPr="00574C39">
        <w:t xml:space="preserve">tox </w:t>
      </w:r>
      <w:r w:rsidRPr="00574C39" w:rsidR="00574C39">
        <w:t>study</w:t>
      </w:r>
      <w:r w:rsidRPr="00574C39">
        <w:t xml:space="preserve"> </w:t>
      </w:r>
      <w:r w:rsidR="00574C39">
        <w:t xml:space="preserve">in </w:t>
      </w:r>
      <w:r w:rsidRPr="00574C39">
        <w:t>rabbits</w:t>
      </w:r>
      <w:r w:rsidR="00574C39">
        <w:t xml:space="preserve"> conducted </w:t>
      </w:r>
      <w:r w:rsidRPr="00574C39">
        <w:t xml:space="preserve">in parallel to </w:t>
      </w:r>
      <w:r w:rsidR="00574C39">
        <w:t xml:space="preserve">the </w:t>
      </w:r>
      <w:r w:rsidRPr="00574C39" w:rsidR="00574C39">
        <w:t>phase</w:t>
      </w:r>
      <w:r w:rsidRPr="00574C39">
        <w:t xml:space="preserve"> 3 </w:t>
      </w:r>
      <w:r w:rsidRPr="00574C39" w:rsidR="00574C39">
        <w:t>stud</w:t>
      </w:r>
      <w:r w:rsidR="00574C39">
        <w:t>y</w:t>
      </w:r>
      <w:r w:rsidRPr="00574C39">
        <w:t xml:space="preserve"> is agreed but the </w:t>
      </w:r>
      <w:r w:rsidR="00574C39">
        <w:t xml:space="preserve">authority </w:t>
      </w:r>
      <w:r w:rsidRPr="00574C39" w:rsidR="00574C39">
        <w:t>responsible</w:t>
      </w:r>
      <w:r w:rsidRPr="00574C39">
        <w:t xml:space="preserve"> for </w:t>
      </w:r>
      <w:r w:rsidR="00574C39">
        <w:t>the clinical trial authorisation</w:t>
      </w:r>
      <w:r w:rsidRPr="00574C39">
        <w:t xml:space="preserve"> will ask for </w:t>
      </w:r>
      <w:r w:rsidRPr="00574C39" w:rsidR="00574C39">
        <w:t>contraception</w:t>
      </w:r>
      <w:r w:rsidRPr="00574C39">
        <w:t xml:space="preserve"> and pregnancy</w:t>
      </w:r>
      <w:r w:rsidR="00574C39">
        <w:t xml:space="preserve"> screening in in order to enrol women of child-bearing potential.</w:t>
      </w:r>
    </w:p>
    <w:p w:rsidR="007301B1" w:rsidP="00443D4A" w14:paraId="13DBF04C" w14:textId="77777777">
      <w:pPr>
        <w:pStyle w:val="BodytextAgency"/>
      </w:pPr>
      <w:r>
        <w:rPr>
          <w:b/>
          <w:bCs/>
          <w:lang w:val="en-US"/>
        </w:rPr>
        <w:t xml:space="preserve">Question 2 - </w:t>
      </w:r>
      <w:r w:rsidRPr="00642723">
        <w:rPr>
          <w:b/>
          <w:bCs/>
          <w:lang w:val="en-US"/>
        </w:rPr>
        <w:t xml:space="preserve">Does EMA agree with the </w:t>
      </w:r>
      <w:bookmarkStart w:id="0" w:name="_Hlk57029890"/>
      <w:r w:rsidRPr="00642723">
        <w:rPr>
          <w:b/>
          <w:bCs/>
          <w:lang w:val="en-US"/>
        </w:rPr>
        <w:t>proposed strategy for the immunogenicity and efficacy evaluation in the nonclinical progra</w:t>
      </w:r>
      <w:r w:rsidRPr="007301B1">
        <w:rPr>
          <w:b/>
          <w:bCs/>
          <w:lang w:val="en-US"/>
        </w:rPr>
        <w:t>m</w:t>
      </w:r>
      <w:bookmarkEnd w:id="0"/>
      <w:r w:rsidRPr="007301B1">
        <w:rPr>
          <w:b/>
          <w:bCs/>
        </w:rPr>
        <w:t>?</w:t>
      </w:r>
    </w:p>
    <w:p w:rsidR="00443D4A" w:rsidRPr="00574C39" w:rsidP="00443D4A" w14:paraId="779E541F" w14:textId="77777777">
      <w:pPr>
        <w:pStyle w:val="BodytextAgency"/>
      </w:pPr>
      <w:r>
        <w:t>The i</w:t>
      </w:r>
      <w:r w:rsidRPr="00574C39">
        <w:t xml:space="preserve">mmunogenicity </w:t>
      </w:r>
      <w:r>
        <w:t xml:space="preserve">and challenge </w:t>
      </w:r>
      <w:r w:rsidRPr="00574C39">
        <w:t>stud</w:t>
      </w:r>
      <w:r>
        <w:t>ies</w:t>
      </w:r>
      <w:r w:rsidRPr="00574C39">
        <w:t xml:space="preserve"> </w:t>
      </w:r>
      <w:r>
        <w:t>measure immune responses, protection against disease and signs</w:t>
      </w:r>
      <w:r w:rsidRPr="00574C39">
        <w:t xml:space="preserve"> of </w:t>
      </w:r>
      <w:r w:rsidR="00185FC2">
        <w:t>VAERD</w:t>
      </w:r>
      <w:r>
        <w:t xml:space="preserve"> in </w:t>
      </w:r>
      <w:r w:rsidRPr="00574C39">
        <w:t>hamsters a</w:t>
      </w:r>
      <w:r w:rsidRPr="00574C39">
        <w:t>nd macaque</w:t>
      </w:r>
      <w:r>
        <w:t xml:space="preserve">, </w:t>
      </w:r>
      <w:r w:rsidRPr="00574C39">
        <w:t>in line with previous advices</w:t>
      </w:r>
      <w:r>
        <w:t>. Importantly these studies</w:t>
      </w:r>
      <w:r w:rsidRPr="00574C39">
        <w:t xml:space="preserve"> assess neut</w:t>
      </w:r>
      <w:r>
        <w:t>ralising</w:t>
      </w:r>
      <w:r w:rsidRPr="00574C39">
        <w:t xml:space="preserve"> </w:t>
      </w:r>
      <w:r>
        <w:t>antibody</w:t>
      </w:r>
      <w:r w:rsidRPr="00574C39">
        <w:t xml:space="preserve"> titres</w:t>
      </w:r>
      <w:r w:rsidR="00185FC2">
        <w:t xml:space="preserve">, </w:t>
      </w:r>
      <w:r w:rsidRPr="00574C39">
        <w:t xml:space="preserve">Th1/Th2 </w:t>
      </w:r>
      <w:r w:rsidRPr="00574C39" w:rsidR="00185FC2">
        <w:t xml:space="preserve">cytokines </w:t>
      </w:r>
      <w:r w:rsidRPr="00574C39">
        <w:t>responses and</w:t>
      </w:r>
      <w:r w:rsidR="00185FC2">
        <w:t xml:space="preserve"> lung</w:t>
      </w:r>
      <w:r w:rsidRPr="00574C39">
        <w:t xml:space="preserve"> </w:t>
      </w:r>
      <w:r w:rsidR="00185FC2">
        <w:t>(hysto)</w:t>
      </w:r>
      <w:r w:rsidRPr="00574C39">
        <w:t xml:space="preserve">pathology </w:t>
      </w:r>
      <w:r w:rsidR="00185FC2">
        <w:t xml:space="preserve">upon challenge </w:t>
      </w:r>
      <w:r w:rsidRPr="00574C39">
        <w:t>to identify sign</w:t>
      </w:r>
      <w:r w:rsidR="00185FC2">
        <w:t>s</w:t>
      </w:r>
      <w:r w:rsidRPr="00574C39">
        <w:t xml:space="preserve"> of immune </w:t>
      </w:r>
      <w:r w:rsidRPr="00574C39" w:rsidR="00185FC2">
        <w:t>toxicity</w:t>
      </w:r>
      <w:r w:rsidRPr="00574C39">
        <w:t xml:space="preserve"> </w:t>
      </w:r>
      <w:r w:rsidR="00185FC2">
        <w:t>that could be indicative of VAERD. Such</w:t>
      </w:r>
      <w:r w:rsidRPr="00574C39">
        <w:t xml:space="preserve"> data </w:t>
      </w:r>
      <w:r w:rsidR="00185FC2">
        <w:t xml:space="preserve">are considered necessary to </w:t>
      </w:r>
      <w:r w:rsidRPr="00574C39">
        <w:t>reassu</w:t>
      </w:r>
      <w:r w:rsidR="00185FC2">
        <w:t xml:space="preserve">re on lack of undue immunotoxicity signs </w:t>
      </w:r>
      <w:r w:rsidRPr="00574C39">
        <w:t>before testing</w:t>
      </w:r>
      <w:r w:rsidR="00185FC2">
        <w:t xml:space="preserve"> l</w:t>
      </w:r>
      <w:r w:rsidRPr="00574C39">
        <w:t xml:space="preserve">arge </w:t>
      </w:r>
      <w:r w:rsidR="00185FC2">
        <w:t>number of individuals,</w:t>
      </w:r>
      <w:r w:rsidRPr="00574C39">
        <w:t xml:space="preserve"> but the</w:t>
      </w:r>
      <w:r w:rsidR="00185FC2">
        <w:t xml:space="preserve"> </w:t>
      </w:r>
      <w:r w:rsidRPr="00574C39">
        <w:t xml:space="preserve">most relevant data will come from the </w:t>
      </w:r>
      <w:r w:rsidRPr="00574C39" w:rsidR="00185FC2">
        <w:t>clinical</w:t>
      </w:r>
      <w:r w:rsidR="00185FC2">
        <w:t xml:space="preserve"> trials</w:t>
      </w:r>
      <w:r w:rsidRPr="00574C39">
        <w:t>.</w:t>
      </w:r>
    </w:p>
    <w:p w:rsidR="003B75E8" w:rsidP="003B75E8" w14:paraId="06DB9420" w14:textId="77777777">
      <w:pPr>
        <w:pStyle w:val="Heading3Agency"/>
        <w:rPr>
          <w:i/>
          <w:sz w:val="18"/>
          <w:szCs w:val="18"/>
        </w:rPr>
      </w:pPr>
      <w:r w:rsidRPr="00574C39">
        <w:rPr>
          <w:i/>
          <w:sz w:val="18"/>
          <w:szCs w:val="18"/>
        </w:rPr>
        <w:t>BNT162 (mRNA1273 vaccine) Biontech/Pfizer -Rolling Review (CMC wave 1)</w:t>
      </w:r>
    </w:p>
    <w:p w:rsidR="00CC086C" w:rsidP="00CC086C" w14:paraId="30CE5250" w14:textId="77777777">
      <w:pPr>
        <w:pStyle w:val="BodytextAgency"/>
      </w:pPr>
      <w:r>
        <w:t xml:space="preserve">Only one wave so far has assessed data from the quality dossier, which however is not yet completed. </w:t>
      </w:r>
      <w:r w:rsidRPr="00CC086C">
        <w:t xml:space="preserve">Three </w:t>
      </w:r>
      <w:r>
        <w:t>major objections (</w:t>
      </w:r>
      <w:r w:rsidRPr="00CC086C">
        <w:t>MOs</w:t>
      </w:r>
      <w:r>
        <w:t>)</w:t>
      </w:r>
      <w:r w:rsidRPr="00CC086C">
        <w:t xml:space="preserve"> have been raised</w:t>
      </w:r>
      <w:r>
        <w:t xml:space="preserve"> By (co)Rapporteurs and endo</w:t>
      </w:r>
      <w:r>
        <w:t>rsed by BWP:</w:t>
      </w:r>
      <w:r w:rsidRPr="00CC086C">
        <w:t xml:space="preserve"> on the GMP status for DS and DP manufacturing sites, </w:t>
      </w:r>
      <w:r>
        <w:t xml:space="preserve">on the </w:t>
      </w:r>
      <w:r w:rsidRPr="00CC086C">
        <w:t xml:space="preserve">comparability between clinical and commercial material, and </w:t>
      </w:r>
      <w:r>
        <w:t xml:space="preserve">on the </w:t>
      </w:r>
      <w:r w:rsidRPr="00CC086C">
        <w:t xml:space="preserve">omission of data on DP manufactured at the commercial site. </w:t>
      </w:r>
      <w:r>
        <w:t>The ETF discussion focused on the MOs</w:t>
      </w:r>
      <w:r w:rsidR="002C6201">
        <w:t xml:space="preserve">, which are justified due to the identified </w:t>
      </w:r>
      <w:r w:rsidRPr="00574C39" w:rsidR="002C6201">
        <w:t>problems</w:t>
      </w:r>
      <w:r w:rsidR="002C6201">
        <w:t xml:space="preserve"> with</w:t>
      </w:r>
      <w:r w:rsidRPr="00574C39" w:rsidR="002C6201">
        <w:t xml:space="preserve"> </w:t>
      </w:r>
      <w:r w:rsidR="002C6201">
        <w:t>c</w:t>
      </w:r>
      <w:r w:rsidRPr="00574C39" w:rsidR="002C6201">
        <w:t xml:space="preserve">omparability and lack of </w:t>
      </w:r>
      <w:r w:rsidR="002C6201">
        <w:t xml:space="preserve">product </w:t>
      </w:r>
      <w:r w:rsidRPr="00574C39" w:rsidR="002C6201">
        <w:t>characterisation data</w:t>
      </w:r>
      <w:r w:rsidR="002C6201">
        <w:t>.</w:t>
      </w:r>
    </w:p>
    <w:p w:rsidR="002C6201" w:rsidP="00CC086C" w14:paraId="763893DC" w14:textId="77777777">
      <w:pPr>
        <w:pStyle w:val="BodytextAgency"/>
      </w:pPr>
      <w:r>
        <w:t>The m</w:t>
      </w:r>
      <w:r w:rsidRPr="00574C39">
        <w:t>ain point</w:t>
      </w:r>
      <w:r>
        <w:t xml:space="preserve"> for concern</w:t>
      </w:r>
      <w:r w:rsidRPr="00574C39">
        <w:t xml:space="preserve"> is </w:t>
      </w:r>
      <w:r>
        <w:t xml:space="preserve">the </w:t>
      </w:r>
      <w:r w:rsidRPr="00574C39">
        <w:t xml:space="preserve">GMP inspection </w:t>
      </w:r>
      <w:r>
        <w:t xml:space="preserve">that is being </w:t>
      </w:r>
      <w:r w:rsidRPr="00574C39">
        <w:t>conducted this week</w:t>
      </w:r>
      <w:r>
        <w:t>. Informal feedback is envisaged</w:t>
      </w:r>
      <w:r w:rsidRPr="00574C39">
        <w:t xml:space="preserve"> from the inspector</w:t>
      </w:r>
      <w:r>
        <w:t xml:space="preserve"> early next week and will be useful </w:t>
      </w:r>
      <w:r w:rsidRPr="00574C39">
        <w:t xml:space="preserve">to understand if critical </w:t>
      </w:r>
      <w:r>
        <w:t>deficiencies</w:t>
      </w:r>
      <w:r w:rsidRPr="00574C39">
        <w:t xml:space="preserve"> </w:t>
      </w:r>
      <w:r>
        <w:t>will be</w:t>
      </w:r>
      <w:r w:rsidRPr="00574C39">
        <w:t xml:space="preserve"> found </w:t>
      </w:r>
      <w:r>
        <w:t xml:space="preserve">that could prevent issuing </w:t>
      </w:r>
      <w:r w:rsidRPr="00574C39">
        <w:t>GMP certification</w:t>
      </w:r>
      <w:r>
        <w:t xml:space="preserve"> on time</w:t>
      </w:r>
      <w:r w:rsidRPr="00574C39">
        <w:t xml:space="preserve">. </w:t>
      </w:r>
    </w:p>
    <w:p w:rsidR="00CC086C" w:rsidRPr="00574C39" w:rsidP="00CC086C" w14:paraId="738D6617" w14:textId="77777777">
      <w:pPr>
        <w:pStyle w:val="BodytextAgency"/>
      </w:pPr>
      <w:r>
        <w:t>Regarding</w:t>
      </w:r>
      <w:r w:rsidRPr="00574C39">
        <w:t xml:space="preserve"> the other 2 MO</w:t>
      </w:r>
      <w:r>
        <w:t>s, the expectation is that they</w:t>
      </w:r>
      <w:r w:rsidRPr="00574C39">
        <w:t xml:space="preserve"> can be resolved </w:t>
      </w:r>
      <w:r>
        <w:t>upon submission of further data</w:t>
      </w:r>
      <w:r w:rsidRPr="00574C39">
        <w:t>.</w:t>
      </w:r>
      <w:r w:rsidR="002303FB">
        <w:t xml:space="preserve"> The main concern remains the issues of the mRNA integrity which is raised to 50% in the commercial batches vs. 20% in the clinical batches.</w:t>
      </w:r>
    </w:p>
    <w:p w:rsidR="00C93DD8" w:rsidP="00C93DD8" w14:paraId="12927446" w14:textId="77777777">
      <w:pPr>
        <w:pStyle w:val="BodytextAgency"/>
      </w:pPr>
      <w:r>
        <w:t>On this aspect a teleconference was held yesterday</w:t>
      </w:r>
      <w:r w:rsidRPr="00574C39" w:rsidR="00016F91">
        <w:t xml:space="preserve"> with EMA/FDA/HC and MHRA</w:t>
      </w:r>
      <w:r>
        <w:t xml:space="preserve">. </w:t>
      </w:r>
      <w:r w:rsidRPr="00574C39" w:rsidR="00016F91">
        <w:t xml:space="preserve">FDA have received more data, </w:t>
      </w:r>
      <w:r>
        <w:t>hence</w:t>
      </w:r>
      <w:r w:rsidRPr="00574C39" w:rsidR="00016F91">
        <w:t xml:space="preserve"> the company</w:t>
      </w:r>
      <w:r>
        <w:t xml:space="preserve"> can be asked to align submissions.</w:t>
      </w:r>
      <w:r w:rsidRPr="00C93DD8">
        <w:t xml:space="preserve"> </w:t>
      </w:r>
      <w:r w:rsidRPr="00574C39">
        <w:t>RNA integrity seem</w:t>
      </w:r>
      <w:r>
        <w:t>ed overall</w:t>
      </w:r>
      <w:r w:rsidRPr="00574C39">
        <w:t xml:space="preserve"> a theoretical problem</w:t>
      </w:r>
      <w:r>
        <w:t xml:space="preserve"> for FDA and HC, which nevertheless needs to be clarified</w:t>
      </w:r>
      <w:r w:rsidRPr="00574C39">
        <w:t xml:space="preserve">. </w:t>
      </w:r>
    </w:p>
    <w:p w:rsidR="002303FB" w:rsidP="00A62E62" w14:paraId="178354E9" w14:textId="548072CB">
      <w:pPr>
        <w:pStyle w:val="BodytextAgency"/>
      </w:pPr>
      <w:r>
        <w:t xml:space="preserve">Lack of </w:t>
      </w:r>
      <w:r w:rsidRPr="00574C39">
        <w:t xml:space="preserve">efficacy due to lower potency </w:t>
      </w:r>
      <w:r>
        <w:t xml:space="preserve">could be a </w:t>
      </w:r>
      <w:r>
        <w:t>concern</w:t>
      </w:r>
      <w:r w:rsidRPr="00574C39">
        <w:t xml:space="preserve">. </w:t>
      </w:r>
      <w:r w:rsidR="00A97FE5">
        <w:t>The ETF considered that i</w:t>
      </w:r>
      <w:r w:rsidRPr="00574C39" w:rsidR="00A97FE5">
        <w:t>mm</w:t>
      </w:r>
      <w:r w:rsidR="00A97FE5">
        <w:t>unogenicity</w:t>
      </w:r>
      <w:r w:rsidRPr="00574C39" w:rsidR="000E6CD0">
        <w:t xml:space="preserve"> studies looking</w:t>
      </w:r>
      <w:r w:rsidR="00A97FE5">
        <w:t xml:space="preserve"> </w:t>
      </w:r>
      <w:r w:rsidRPr="00574C39" w:rsidR="000E6CD0">
        <w:t>at responses after 2 doses</w:t>
      </w:r>
      <w:r w:rsidRPr="00574C39" w:rsidR="00DD67FC">
        <w:t xml:space="preserve"> </w:t>
      </w:r>
      <w:r w:rsidR="00A97FE5">
        <w:t xml:space="preserve">of batches from different processes, </w:t>
      </w:r>
      <w:r w:rsidR="00A62E62">
        <w:t xml:space="preserve"> </w:t>
      </w:r>
      <w:r w:rsidR="00A97FE5">
        <w:t xml:space="preserve">which may deliver data in January of February 2021, </w:t>
      </w:r>
      <w:r w:rsidR="00A62E62">
        <w:t xml:space="preserve">as well as early clinical studies with different doses, </w:t>
      </w:r>
      <w:r w:rsidRPr="00574C39" w:rsidR="00DD67FC">
        <w:t xml:space="preserve">could help </w:t>
      </w:r>
      <w:r w:rsidR="00A97FE5">
        <w:t xml:space="preserve">shed more light, </w:t>
      </w:r>
      <w:r w:rsidRPr="00574C39" w:rsidR="00DD67FC">
        <w:t>but</w:t>
      </w:r>
      <w:r w:rsidR="00A97FE5">
        <w:t xml:space="preserve"> results may be</w:t>
      </w:r>
      <w:r w:rsidRPr="00574C39" w:rsidR="00DD67FC">
        <w:t xml:space="preserve"> difficult to</w:t>
      </w:r>
      <w:r w:rsidR="00A97FE5">
        <w:t xml:space="preserve"> interpret</w:t>
      </w:r>
      <w:r w:rsidRPr="00574C39" w:rsidR="00DD67FC">
        <w:t xml:space="preserve"> </w:t>
      </w:r>
      <w:r w:rsidR="00A97FE5">
        <w:t>without a correlate of protection. Therefore it remains essential that</w:t>
      </w:r>
      <w:r w:rsidRPr="00574C39" w:rsidR="00DD67FC">
        <w:t xml:space="preserve"> </w:t>
      </w:r>
      <w:r w:rsidR="00A97FE5">
        <w:t xml:space="preserve">the </w:t>
      </w:r>
      <w:r w:rsidRPr="00574C39" w:rsidR="00A97FE5">
        <w:t>product</w:t>
      </w:r>
      <w:r w:rsidRPr="00574C39" w:rsidR="00DD67FC">
        <w:t xml:space="preserve"> </w:t>
      </w:r>
      <w:r w:rsidR="00A97FE5">
        <w:t>is well</w:t>
      </w:r>
      <w:r w:rsidRPr="00574C39" w:rsidR="00DD67FC">
        <w:t xml:space="preserve"> </w:t>
      </w:r>
      <w:r w:rsidRPr="00574C39" w:rsidR="00A97FE5">
        <w:t>characterised</w:t>
      </w:r>
      <w:r w:rsidRPr="00574C39" w:rsidR="00DD67FC">
        <w:t xml:space="preserve"> and spec</w:t>
      </w:r>
      <w:r w:rsidR="00A97FE5">
        <w:t>ification</w:t>
      </w:r>
      <w:r w:rsidRPr="00574C39" w:rsidR="00DD67FC">
        <w:t xml:space="preserve">s </w:t>
      </w:r>
      <w:r w:rsidRPr="00574C39" w:rsidR="00306404">
        <w:t xml:space="preserve">for potency and integrity </w:t>
      </w:r>
      <w:r w:rsidR="00A97FE5">
        <w:t>may need to</w:t>
      </w:r>
      <w:r w:rsidRPr="00574C39" w:rsidR="00DD67FC">
        <w:t xml:space="preserve"> be</w:t>
      </w:r>
      <w:r w:rsidR="00A97FE5">
        <w:t xml:space="preserve"> kept</w:t>
      </w:r>
      <w:r w:rsidRPr="00574C39" w:rsidR="00DD67FC">
        <w:t xml:space="preserve"> </w:t>
      </w:r>
      <w:r w:rsidRPr="00574C39" w:rsidR="00306404">
        <w:t>more conservative</w:t>
      </w:r>
      <w:r w:rsidR="00A97FE5">
        <w:t xml:space="preserve"> for the time being</w:t>
      </w:r>
      <w:r w:rsidRPr="00574C39" w:rsidR="00306404">
        <w:t xml:space="preserve">. </w:t>
      </w:r>
      <w:r w:rsidRPr="00574C39" w:rsidR="00A97FE5">
        <w:t>The company will send more data from 2 additional drug substance batches</w:t>
      </w:r>
      <w:r>
        <w:t xml:space="preserve"> that appears to be </w:t>
      </w:r>
      <w:r>
        <w:t>more similar to clinical batches in terms of amount of intact mRNA</w:t>
      </w:r>
      <w:r w:rsidRPr="00574C39" w:rsidR="00A97FE5">
        <w:t>.</w:t>
      </w:r>
      <w:r w:rsidRPr="0031528A" w:rsidR="0031528A">
        <w:t xml:space="preserve"> </w:t>
      </w:r>
      <w:r w:rsidR="0031528A">
        <w:t>Interestingly MHRA approach for emergency use is going to be providing a batch-specific authorisation.</w:t>
      </w:r>
    </w:p>
    <w:p w:rsidR="00A9150E" w:rsidRPr="00574C39" w:rsidP="005E463B" w14:paraId="245D19F5" w14:textId="2BB5A3E4">
      <w:pPr>
        <w:pStyle w:val="BodytextAgency"/>
      </w:pPr>
      <w:r w:rsidRPr="00574C39">
        <w:t xml:space="preserve">Safety is not seen </w:t>
      </w:r>
      <w:r w:rsidR="002303FB">
        <w:t>a</w:t>
      </w:r>
      <w:r w:rsidRPr="00574C39">
        <w:t xml:space="preserve">s </w:t>
      </w:r>
      <w:r w:rsidR="00A62E62">
        <w:t>of major concern</w:t>
      </w:r>
      <w:r w:rsidR="002303FB">
        <w:t xml:space="preserve"> by ETF</w:t>
      </w:r>
      <w:r w:rsidRPr="00574C39">
        <w:t>,</w:t>
      </w:r>
      <w:r w:rsidR="005630E1">
        <w:t xml:space="preserve"> at least for fragmented RNA that is not capped and polyA (resulting in potential transcription), </w:t>
      </w:r>
      <w:r w:rsidRPr="00574C39">
        <w:t xml:space="preserve"> </w:t>
      </w:r>
      <w:r w:rsidR="002303FB">
        <w:t xml:space="preserve">but in </w:t>
      </w:r>
      <w:r w:rsidR="0031528A">
        <w:t xml:space="preserve">absence </w:t>
      </w:r>
      <w:r w:rsidR="002303FB">
        <w:t xml:space="preserve">of data it </w:t>
      </w:r>
      <w:r w:rsidR="005630E1">
        <w:t>is difficult to be conclusive</w:t>
      </w:r>
      <w:r w:rsidR="002303FB">
        <w:t xml:space="preserve">. </w:t>
      </w:r>
      <w:r w:rsidR="00E607AC">
        <w:t>Therefore the ETF agreed with the request to generate</w:t>
      </w:r>
      <w:r w:rsidRPr="00574C39" w:rsidR="000C0CD9">
        <w:t xml:space="preserve"> more data as much as possible as mentioned in MO2a. MO2 </w:t>
      </w:r>
      <w:r w:rsidRPr="00574C39" w:rsidR="00E607AC">
        <w:t>could</w:t>
      </w:r>
      <w:r w:rsidRPr="00574C39" w:rsidR="000C0CD9">
        <w:t xml:space="preserve"> be </w:t>
      </w:r>
      <w:r w:rsidR="00E607AC">
        <w:t>resolved</w:t>
      </w:r>
      <w:r w:rsidRPr="00574C39" w:rsidR="000C0CD9">
        <w:t xml:space="preserve"> by the new data asked. Further discussio</w:t>
      </w:r>
      <w:r w:rsidR="00E607AC">
        <w:t xml:space="preserve">n will have </w:t>
      </w:r>
      <w:r w:rsidR="00E607AC">
        <w:t xml:space="preserve">to </w:t>
      </w:r>
      <w:r w:rsidR="00A62E62">
        <w:t>take place</w:t>
      </w:r>
      <w:r w:rsidR="00E607AC">
        <w:t xml:space="preserve"> </w:t>
      </w:r>
      <w:r w:rsidRPr="00574C39" w:rsidR="000C0CD9">
        <w:t>based on new data assessment.</w:t>
      </w:r>
    </w:p>
    <w:p w:rsidR="00185FC2" w:rsidP="003B75E8" w14:paraId="22B97F08" w14:textId="77777777">
      <w:pPr>
        <w:pStyle w:val="Heading3Agency"/>
        <w:rPr>
          <w:i/>
          <w:sz w:val="18"/>
          <w:szCs w:val="18"/>
        </w:rPr>
      </w:pPr>
      <w:r w:rsidRPr="00574C39">
        <w:rPr>
          <w:i/>
          <w:sz w:val="18"/>
          <w:szCs w:val="18"/>
        </w:rPr>
        <w:t>BNT162 (mRNA1273 vaccine) – (002861-PIP02-20) - Biontech – update on the PIP di</w:t>
      </w:r>
      <w:r w:rsidRPr="00574C39">
        <w:rPr>
          <w:i/>
          <w:sz w:val="18"/>
          <w:szCs w:val="18"/>
        </w:rPr>
        <w:t>scussion</w:t>
      </w:r>
    </w:p>
    <w:p w:rsidR="00260D89" w:rsidP="006935FB" w14:paraId="414B2422" w14:textId="77777777">
      <w:pPr>
        <w:pStyle w:val="BodytextAgency"/>
      </w:pPr>
      <w:r>
        <w:t xml:space="preserve">The ETF was given an overview of the PIP for the Biontech/Pfizer vaccine, which will be adopted by PDCO next week. </w:t>
      </w:r>
    </w:p>
    <w:p w:rsidR="004A61BA" w:rsidP="006935FB" w14:paraId="7AB5F81A" w14:textId="7AFE9834">
      <w:pPr>
        <w:pStyle w:val="BodytextAgency"/>
      </w:pPr>
      <w:r w:rsidRPr="00574C39">
        <w:t xml:space="preserve">ETF </w:t>
      </w:r>
      <w:r w:rsidRPr="00574C39" w:rsidR="00954F02">
        <w:t xml:space="preserve">questioned </w:t>
      </w:r>
      <w:r w:rsidR="00954F02">
        <w:t xml:space="preserve">whether </w:t>
      </w:r>
      <w:r w:rsidRPr="00574C39">
        <w:t xml:space="preserve">the </w:t>
      </w:r>
      <w:r w:rsidR="00954F02">
        <w:t xml:space="preserve">company’s proposed number of participants to the immunogenicity and safety </w:t>
      </w:r>
      <w:r w:rsidRPr="00574C39">
        <w:t xml:space="preserve">trials </w:t>
      </w:r>
      <w:r w:rsidR="00954F02">
        <w:t xml:space="preserve">are justified </w:t>
      </w:r>
      <w:r w:rsidRPr="00574C39">
        <w:t>from</w:t>
      </w:r>
      <w:r w:rsidR="00954F02">
        <w:t xml:space="preserve"> </w:t>
      </w:r>
      <w:r w:rsidRPr="00574C39">
        <w:t>a s</w:t>
      </w:r>
      <w:r w:rsidRPr="00574C39">
        <w:t xml:space="preserve">afety perspective </w:t>
      </w:r>
      <w:r w:rsidR="00954F02">
        <w:t>(approximately 3000 per age strata)</w:t>
      </w:r>
      <w:r w:rsidRPr="00574C39">
        <w:t xml:space="preserve">. </w:t>
      </w:r>
      <w:r>
        <w:t xml:space="preserve">Although it is difficult to discourage a company from proposing a sample size larger than what would be a minimum requirement, they should be reminded to include an adequate </w:t>
      </w:r>
      <w:r w:rsidRPr="00574C39">
        <w:t xml:space="preserve">justification of </w:t>
      </w:r>
      <w:r>
        <w:t>any propos</w:t>
      </w:r>
      <w:r>
        <w:t>ed</w:t>
      </w:r>
      <w:r w:rsidRPr="00574C39">
        <w:t xml:space="preserve"> sample size in terms of</w:t>
      </w:r>
      <w:r>
        <w:t xml:space="preserve"> </w:t>
      </w:r>
      <w:r w:rsidRPr="00574C39">
        <w:t>outcome</w:t>
      </w:r>
      <w:r w:rsidR="004111C8">
        <w:t>,</w:t>
      </w:r>
      <w:r>
        <w:t xml:space="preserve"> and to</w:t>
      </w:r>
      <w:r w:rsidRPr="00574C39">
        <w:t xml:space="preserve"> </w:t>
      </w:r>
      <w:r>
        <w:t>seek further scientific advice from CHMP</w:t>
      </w:r>
      <w:r w:rsidRPr="00574C39">
        <w:t xml:space="preserve"> </w:t>
      </w:r>
      <w:r>
        <w:t>on</w:t>
      </w:r>
      <w:r w:rsidRPr="00574C39">
        <w:t xml:space="preserve"> safety requirements for </w:t>
      </w:r>
      <w:r>
        <w:t>paediatric</w:t>
      </w:r>
      <w:r w:rsidRPr="00574C39">
        <w:t xml:space="preserve"> studies</w:t>
      </w:r>
      <w:r>
        <w:t xml:space="preserve"> once more data will become available</w:t>
      </w:r>
      <w:r w:rsidRPr="00574C39">
        <w:t>.</w:t>
      </w:r>
    </w:p>
    <w:p w:rsidR="004A61BA" w:rsidP="006935FB" w14:paraId="31FBEFC9" w14:textId="02DD0A25">
      <w:pPr>
        <w:pStyle w:val="BodytextAgency"/>
      </w:pPr>
      <w:r>
        <w:t xml:space="preserve">Of note, Moderna proposed </w:t>
      </w:r>
      <w:r w:rsidR="00103C8C">
        <w:t>in</w:t>
      </w:r>
      <w:r>
        <w:t xml:space="preserve"> their PIP </w:t>
      </w:r>
      <w:r w:rsidR="004111C8">
        <w:t>250</w:t>
      </w:r>
      <w:r>
        <w:t xml:space="preserve"> subjects per age strata, which soun</w:t>
      </w:r>
      <w:r>
        <w:t>ds more reasonable</w:t>
      </w:r>
      <w:r>
        <w:t>.</w:t>
      </w:r>
    </w:p>
    <w:p w:rsidR="00103C8C" w:rsidP="00103C8C" w14:paraId="292AD30E" w14:textId="77B9423C">
      <w:pPr>
        <w:pStyle w:val="BodytextAgency"/>
      </w:pPr>
      <w:r>
        <w:t xml:space="preserve">Although it is difficult to provide clear cut numbers as it depends on the </w:t>
      </w:r>
      <w:r w:rsidR="004A61BA">
        <w:t xml:space="preserve">sought </w:t>
      </w:r>
      <w:r>
        <w:t>outcome, as a general principle the ETF agreed that f</w:t>
      </w:r>
      <w:r w:rsidRPr="00574C39" w:rsidR="003879D3">
        <w:t xml:space="preserve">or reactogenicity </w:t>
      </w:r>
      <w:r w:rsidR="00954F02">
        <w:t>it would be sufficient to test around 300 subjects</w:t>
      </w:r>
      <w:r>
        <w:t xml:space="preserve"> per age stratum. Serious </w:t>
      </w:r>
      <w:r w:rsidRPr="00574C39">
        <w:t xml:space="preserve">rare </w:t>
      </w:r>
      <w:r>
        <w:t xml:space="preserve">events </w:t>
      </w:r>
      <w:r w:rsidRPr="00574C39" w:rsidR="003879D3">
        <w:t xml:space="preserve">could be </w:t>
      </w:r>
      <w:r>
        <w:t>disproportionately represented</w:t>
      </w:r>
      <w:r w:rsidRPr="00574C39" w:rsidR="003879D3">
        <w:t xml:space="preserve"> in children </w:t>
      </w:r>
      <w:r>
        <w:t xml:space="preserve">vs. adults </w:t>
      </w:r>
      <w:r w:rsidRPr="00574C39" w:rsidR="003879D3">
        <w:t xml:space="preserve">e.g. </w:t>
      </w:r>
      <w:r w:rsidRPr="00574C39" w:rsidR="00954F02">
        <w:t>narcolepsy</w:t>
      </w:r>
      <w:r>
        <w:t xml:space="preserve"> or other </w:t>
      </w:r>
      <w:r w:rsidRPr="00574C39" w:rsidR="001143CE">
        <w:t xml:space="preserve">autoimmune disorders </w:t>
      </w:r>
      <w:r>
        <w:t xml:space="preserve">that </w:t>
      </w:r>
      <w:r w:rsidRPr="00574C39" w:rsidR="001143CE">
        <w:t>are more likely to occur in adolescents</w:t>
      </w:r>
      <w:r>
        <w:t xml:space="preserve"> than adults. However,</w:t>
      </w:r>
      <w:r w:rsidRPr="00574C39" w:rsidR="003879D3">
        <w:t xml:space="preserve"> such events </w:t>
      </w:r>
      <w:r>
        <w:t>would require sample size</w:t>
      </w:r>
      <w:r w:rsidR="004111C8">
        <w:t>s</w:t>
      </w:r>
      <w:r>
        <w:t xml:space="preserve"> larger than 30,000 individuals to be able to detect anything</w:t>
      </w:r>
      <w:r w:rsidRPr="00574C39" w:rsidR="003879D3">
        <w:t xml:space="preserve">. </w:t>
      </w:r>
      <w:r>
        <w:t>As this would be unfeasible</w:t>
      </w:r>
      <w:r w:rsidR="004111C8">
        <w:t>,</w:t>
      </w:r>
      <w:r>
        <w:t xml:space="preserve"> especially for a paediatric study, we need to rely on post-authorisation surveillance. </w:t>
      </w:r>
    </w:p>
    <w:p w:rsidR="006634EE" w:rsidRPr="00574C39" w:rsidP="00103C8C" w14:paraId="6AEF7C2D" w14:textId="77777777">
      <w:pPr>
        <w:pStyle w:val="BodytextAgency"/>
      </w:pPr>
      <w:r>
        <w:t> </w:t>
      </w:r>
      <w:bookmarkStart w:id="1" w:name="_Toc425171443"/>
      <w:bookmarkStart w:id="2" w:name="_Toc26190846"/>
      <w:bookmarkStart w:id="3" w:name="_Ref32166880"/>
    </w:p>
    <w:p w:rsidR="00185FC2" w:rsidRPr="00574C39" w:rsidP="00185FC2" w14:paraId="007BBE1E" w14:textId="77777777">
      <w:pPr>
        <w:pStyle w:val="Heading3Agency"/>
      </w:pPr>
      <w:r w:rsidRPr="00574C39">
        <w:t>3. A.O.B.</w:t>
      </w:r>
    </w:p>
    <w:p w:rsidR="00103C8C" w:rsidP="00103C8C" w14:paraId="26392A70" w14:textId="77777777">
      <w:pPr>
        <w:pStyle w:val="BodytextAgency"/>
        <w:numPr>
          <w:ilvl w:val="0"/>
          <w:numId w:val="18"/>
        </w:numPr>
      </w:pPr>
      <w:r>
        <w:t>Up</w:t>
      </w:r>
      <w:r>
        <w:t>date on AZ</w:t>
      </w:r>
      <w:r w:rsidR="0023191A">
        <w:t xml:space="preserve">D1222 vaccine top line </w:t>
      </w:r>
      <w:r>
        <w:t>efficacy data</w:t>
      </w:r>
      <w:r w:rsidR="0023191A">
        <w:t xml:space="preserve"> from the UK and Brazil phase 3 trials and difference between the LD/SD vs. SD/SD regimens. The company’s presentation will be shared with the ETF.</w:t>
      </w:r>
    </w:p>
    <w:p w:rsidR="00103C8C" w:rsidP="00103C8C" w14:paraId="7A1DE499" w14:textId="77777777">
      <w:pPr>
        <w:pStyle w:val="BodytextAgency"/>
        <w:numPr>
          <w:ilvl w:val="0"/>
          <w:numId w:val="18"/>
        </w:numPr>
      </w:pPr>
      <w:r>
        <w:t xml:space="preserve">EMA is part of the OPEN experts </w:t>
      </w:r>
      <w:r w:rsidR="00106E63">
        <w:t>project</w:t>
      </w:r>
      <w:r>
        <w:t xml:space="preserve"> for vaccines, which me</w:t>
      </w:r>
      <w:r>
        <w:t xml:space="preserve">ans that 2 assessors from respectively HC, Swiss Medics, Japan and WHO (plus 4 assessors through WHO from other Countries </w:t>
      </w:r>
      <w:r w:rsidR="00106E63">
        <w:t xml:space="preserve">i.e. </w:t>
      </w:r>
      <w:r>
        <w:t>TGA, Korea, Brazil) will attend the ETF discussions on the vaccines RR as additional experts (no role in the decision making proc</w:t>
      </w:r>
      <w:r>
        <w:t>ess).</w:t>
      </w:r>
    </w:p>
    <w:p w:rsidR="00185FC2" w14:paraId="67D7CC16" w14:textId="77777777"/>
    <w:p w:rsidR="00A32F90" w:rsidRPr="00574C39" w:rsidP="00EE6072" w14:paraId="5CBD4C05" w14:textId="77777777">
      <w:pPr>
        <w:pStyle w:val="Heading2Agency0"/>
      </w:pPr>
      <w:r w:rsidRPr="00574C39">
        <w:t>Annex I – List of participants</w:t>
      </w:r>
      <w:bookmarkEnd w:id="1"/>
      <w:bookmarkEnd w:id="2"/>
      <w:bookmarkEnd w:id="3"/>
    </w:p>
    <w:p w:rsidR="00A32F90" w:rsidRPr="00574C39" w:rsidP="00A32F90" w14:paraId="651A4876" w14:textId="77777777">
      <w:pPr>
        <w:spacing w:after="140" w:line="280" w:lineRule="atLeast"/>
        <w:rPr>
          <w:rFonts w:ascii="Verdana" w:eastAsia="Verdana" w:hAnsi="Verdana"/>
          <w:sz w:val="18"/>
          <w:szCs w:val="18"/>
          <w:lang w:eastAsia="en-GB"/>
        </w:rPr>
      </w:pPr>
      <w:r w:rsidRPr="00574C39">
        <w:rPr>
          <w:rFonts w:ascii="Verdana" w:eastAsia="Verdana" w:hAnsi="Verdana"/>
          <w:sz w:val="18"/>
          <w:szCs w:val="18"/>
          <w:lang w:eastAsia="en-GB"/>
        </w:rPr>
        <w:t>including any restrictions with respect to involvement of members / alternates / experts following evaluation of declared interests for the ETF meeting on 2</w:t>
      </w:r>
      <w:r w:rsidRPr="00574C39" w:rsidR="003B75E8">
        <w:rPr>
          <w:rFonts w:ascii="Verdana" w:eastAsia="Verdana" w:hAnsi="Verdana"/>
          <w:sz w:val="18"/>
          <w:szCs w:val="18"/>
          <w:lang w:eastAsia="en-GB"/>
        </w:rPr>
        <w:t>6</w:t>
      </w:r>
      <w:r w:rsidRPr="00574C39">
        <w:rPr>
          <w:rFonts w:ascii="Verdana" w:eastAsia="Verdana" w:hAnsi="Verdana"/>
          <w:sz w:val="18"/>
          <w:szCs w:val="18"/>
          <w:vertAlign w:val="superscript"/>
          <w:lang w:eastAsia="en-GB"/>
        </w:rPr>
        <w:t>th</w:t>
      </w:r>
      <w:r w:rsidRPr="00574C39">
        <w:rPr>
          <w:rFonts w:ascii="Verdana" w:eastAsia="Verdana" w:hAnsi="Verdana"/>
          <w:sz w:val="18"/>
          <w:szCs w:val="18"/>
          <w:lang w:eastAsia="en-GB"/>
        </w:rPr>
        <w:t xml:space="preserve"> November 2020.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2512"/>
        <w:gridCol w:w="1572"/>
        <w:gridCol w:w="1879"/>
        <w:gridCol w:w="1572"/>
        <w:gridCol w:w="1877"/>
      </w:tblGrid>
      <w:tr w14:paraId="46C313AA" w14:textId="77777777" w:rsidTr="00A56515">
        <w:tblPrEx>
          <w:tblW w:w="5000" w:type="pc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6" w:space="0" w:color="FFFFFF"/>
            <w:insideV w:val="single" w:sz="6" w:space="0" w:color="FFFFFF"/>
          </w:tblBorders>
          <w:tblLook w:val="01E0"/>
        </w:tblPrEx>
        <w:trPr>
          <w:tblHeader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8F4882" w:rsidRPr="00574C39" w:rsidP="00A56515" w14:paraId="3C5ABF3E" w14:textId="77777777">
            <w:pPr>
              <w:keepNext/>
              <w:spacing w:after="140" w:line="280" w:lineRule="atLeast"/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8F4882" w:rsidRPr="00574C39" w:rsidP="00A56515" w14:paraId="00678857" w14:textId="77777777">
            <w:pPr>
              <w:keepNext/>
              <w:spacing w:after="140" w:line="280" w:lineRule="atLeast"/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  <w:t>Role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8F4882" w:rsidRPr="00574C39" w:rsidP="00A56515" w14:paraId="1EE62AC7" w14:textId="77777777">
            <w:pPr>
              <w:keepNext/>
              <w:spacing w:after="140" w:line="280" w:lineRule="atLeast"/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  <w:t xml:space="preserve">Member state or </w:t>
            </w:r>
            <w:r w:rsidRPr="00574C39"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  <w:t>affiliation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8F4882" w:rsidRPr="00574C39" w:rsidP="00A56515" w14:paraId="7F03DE78" w14:textId="77777777">
            <w:pPr>
              <w:keepNext/>
              <w:spacing w:after="140" w:line="280" w:lineRule="atLeast"/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  <w:t>Outcome restriction following evaluation of e-DoI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:rsidR="008F4882" w:rsidRPr="00574C39" w:rsidP="00A56515" w14:paraId="527AA970" w14:textId="77777777">
            <w:pPr>
              <w:keepNext/>
              <w:spacing w:after="140" w:line="280" w:lineRule="atLeast"/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Times New Roman" w:hAnsi="Verdana"/>
                <w:b/>
                <w:sz w:val="18"/>
                <w:szCs w:val="18"/>
                <w:lang w:eastAsia="en-GB"/>
              </w:rPr>
              <w:t>Topics on agenda for which restrictions apply</w:t>
            </w:r>
          </w:p>
        </w:tc>
      </w:tr>
      <w:tr w14:paraId="47CDE162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44D642C4" w14:textId="77777777">
            <w:pPr>
              <w:pStyle w:val="BodytextAgency"/>
              <w:rPr>
                <w:rFonts w:eastAsia="SimSun"/>
              </w:rPr>
            </w:pPr>
            <w:r w:rsidRPr="00574C39">
              <w:t xml:space="preserve">Harald Enzmann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ACC232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Member 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46D9A16" w14:textId="77777777">
            <w:pPr>
              <w:pStyle w:val="BodytextAgency"/>
              <w:rPr>
                <w:rFonts w:eastAsia="SimSun"/>
              </w:rPr>
            </w:pPr>
            <w:r w:rsidRPr="00574C39">
              <w:t>CHMP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BBD0ED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4EEF279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ABD41F3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404C422C" w14:textId="77777777">
            <w:pPr>
              <w:pStyle w:val="BodytextAgency"/>
              <w:rPr>
                <w:rFonts w:eastAsia="SimSun"/>
              </w:rPr>
            </w:pPr>
            <w:r w:rsidRPr="00574C39">
              <w:t xml:space="preserve">Bruno Sepodes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893561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75AB4D4" w14:textId="77777777">
            <w:pPr>
              <w:pStyle w:val="BodytextAgency"/>
              <w:rPr>
                <w:rFonts w:eastAsia="SimSun"/>
              </w:rPr>
            </w:pPr>
            <w:r w:rsidRPr="00574C39">
              <w:t>CHMP – vice-chair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DD8084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73C153E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Full </w:t>
            </w: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involvement</w:t>
            </w:r>
          </w:p>
        </w:tc>
      </w:tr>
      <w:tr w14:paraId="4AF73C81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2997F08E" w14:textId="77777777">
            <w:pPr>
              <w:pStyle w:val="BodytextAgency"/>
              <w:rPr>
                <w:rFonts w:eastAsia="SimSun"/>
              </w:rPr>
            </w:pPr>
            <w:r w:rsidRPr="00574C39">
              <w:t xml:space="preserve">Sabine Straus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4F432E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752A8E7" w14:textId="77777777">
            <w:pPr>
              <w:pStyle w:val="BodytextAgency"/>
              <w:rPr>
                <w:rFonts w:eastAsia="SimSun"/>
              </w:rPr>
            </w:pPr>
            <w:r w:rsidRPr="00574C39">
              <w:t>PRAC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9269AF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0913783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7F38A60A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09D903FF" w14:textId="77777777">
            <w:pPr>
              <w:pStyle w:val="BodytextAgency"/>
              <w:rPr>
                <w:rFonts w:eastAsia="SimSun"/>
              </w:rPr>
            </w:pPr>
            <w:r w:rsidRPr="00574C39">
              <w:t xml:space="preserve">Koenraad Norga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57B0D0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CAF92A5" w14:textId="77777777">
            <w:pPr>
              <w:pStyle w:val="BodytextAgency"/>
              <w:rPr>
                <w:rFonts w:eastAsia="SimSun"/>
              </w:rPr>
            </w:pPr>
            <w:r w:rsidRPr="00574C39">
              <w:t>PDCO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6999A4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restrictions applicable to this meeting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3DBFB96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01E54607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3B46D6FA" w14:textId="77777777">
            <w:pPr>
              <w:pStyle w:val="BodytextAgency"/>
              <w:rPr>
                <w:rFonts w:eastAsia="SimSun"/>
              </w:rPr>
            </w:pPr>
            <w:r w:rsidRPr="00574C39">
              <w:t xml:space="preserve">Anja Schiel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7B20CB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49E7E6D" w14:textId="77777777">
            <w:pPr>
              <w:pStyle w:val="BodytextAgency"/>
              <w:rPr>
                <w:rFonts w:eastAsia="SimSun"/>
              </w:rPr>
            </w:pPr>
            <w:r w:rsidRPr="00574C39">
              <w:t>SAWP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F65136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63A667B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Full </w:t>
            </w: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involvement</w:t>
            </w:r>
          </w:p>
        </w:tc>
      </w:tr>
      <w:tr w14:paraId="59A5B436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53BC21A8" w14:textId="77777777">
            <w:pPr>
              <w:pStyle w:val="BodytextAgency"/>
              <w:rPr>
                <w:rFonts w:eastAsia="SimSun"/>
              </w:rPr>
            </w:pPr>
            <w:r w:rsidRPr="00574C39">
              <w:t>Maria Cortizo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363FCD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DE736D7" w14:textId="77777777">
            <w:pPr>
              <w:pStyle w:val="BodytextAgency"/>
              <w:rPr>
                <w:rFonts w:eastAsia="SimSun"/>
              </w:rPr>
            </w:pPr>
            <w:r w:rsidRPr="00574C39">
              <w:t>IDWP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A2FD09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6762F03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09D5FB7A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44FF53BC" w14:textId="77777777">
            <w:pPr>
              <w:pStyle w:val="BodytextAgency"/>
              <w:rPr>
                <w:rFonts w:eastAsia="SimSun"/>
              </w:rPr>
            </w:pPr>
            <w:r w:rsidRPr="00574C39">
              <w:t>Filip Josephson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23C1E2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75D8341" w14:textId="77777777">
            <w:pPr>
              <w:pStyle w:val="BodytextAgency"/>
              <w:rPr>
                <w:rFonts w:eastAsia="SimSun"/>
              </w:rPr>
            </w:pPr>
            <w:r w:rsidRPr="00574C39">
              <w:t>IDWP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9811A3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78D7CCB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76D36146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711D2D31" w14:textId="77777777">
            <w:pPr>
              <w:pStyle w:val="BodytextAgency"/>
              <w:rPr>
                <w:rFonts w:eastAsia="SimSun"/>
              </w:rPr>
            </w:pPr>
            <w:r w:rsidRPr="00574C39">
              <w:t>Regine Lehnert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75BA1A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154FFB2" w14:textId="77777777">
            <w:pPr>
              <w:pStyle w:val="BodytextAgency"/>
              <w:rPr>
                <w:rFonts w:eastAsia="SimSun"/>
              </w:rPr>
            </w:pPr>
            <w:r w:rsidRPr="00574C39">
              <w:t>IDWP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4E237D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458412D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2415014F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2647A9DA" w14:textId="77777777">
            <w:pPr>
              <w:pStyle w:val="BodytextAgency"/>
              <w:rPr>
                <w:rFonts w:eastAsia="SimSun"/>
              </w:rPr>
            </w:pPr>
            <w:r w:rsidRPr="00574C39">
              <w:t xml:space="preserve">Nathalie Morgensztejn 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64BC79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433E86E" w14:textId="77777777">
            <w:pPr>
              <w:pStyle w:val="BodytextAgency"/>
              <w:rPr>
                <w:rFonts w:eastAsia="SimSun"/>
              </w:rPr>
            </w:pPr>
            <w:r w:rsidRPr="00574C39">
              <w:t>IDWP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668AD3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48CAB88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1500F02B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54E0025F" w14:textId="77777777">
            <w:pPr>
              <w:pStyle w:val="BodytextAgency"/>
              <w:rPr>
                <w:rFonts w:eastAsia="SimSun"/>
              </w:rPr>
            </w:pPr>
            <w:r w:rsidRPr="00574C39">
              <w:t>Mair Powell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0C7EC1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0B86E85" w14:textId="77777777">
            <w:pPr>
              <w:pStyle w:val="BodytextAgency"/>
              <w:rPr>
                <w:rFonts w:eastAsia="SimSun"/>
              </w:rPr>
            </w:pPr>
            <w:r w:rsidRPr="00574C39">
              <w:t>VWP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E74A11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1B54886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4C6AA9A8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600A6FEB" w14:textId="77777777">
            <w:pPr>
              <w:pStyle w:val="BodytextAgency"/>
              <w:rPr>
                <w:rFonts w:eastAsia="SimSun"/>
              </w:rPr>
            </w:pPr>
            <w:r w:rsidRPr="00574C39">
              <w:t>Mikael Andersson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B74837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FE3E75D" w14:textId="77777777">
            <w:pPr>
              <w:pStyle w:val="BodytextAgency"/>
              <w:rPr>
                <w:rFonts w:eastAsia="SimSun"/>
              </w:rPr>
            </w:pPr>
            <w:r w:rsidRPr="00574C39">
              <w:t>VWP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52F95A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7D8E053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6D7A0C6F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32FB5EFC" w14:textId="77777777">
            <w:pPr>
              <w:pStyle w:val="BodytextAgency"/>
              <w:rPr>
                <w:rFonts w:eastAsia="SimSun"/>
              </w:rPr>
            </w:pPr>
            <w:r w:rsidRPr="00574C39">
              <w:t>Sol Ruiz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077B1E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AF1BCC5" w14:textId="77777777">
            <w:pPr>
              <w:pStyle w:val="BodytextAgency"/>
              <w:rPr>
                <w:rFonts w:eastAsia="SimSun"/>
              </w:rPr>
            </w:pPr>
            <w:r w:rsidRPr="00574C39">
              <w:t xml:space="preserve">BWP - </w:t>
            </w:r>
            <w:r w:rsidRPr="00574C39">
              <w:t>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6E3AC2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4750452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6F3049BF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7E3BF6A8" w14:textId="77777777">
            <w:pPr>
              <w:pStyle w:val="BodytextAgency"/>
              <w:rPr>
                <w:rFonts w:eastAsia="SimSun"/>
              </w:rPr>
            </w:pPr>
            <w:r w:rsidRPr="00574C39">
              <w:t>Ralf Wagner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D72807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CB6612C" w14:textId="77777777">
            <w:pPr>
              <w:pStyle w:val="BodytextAgency"/>
              <w:rPr>
                <w:rFonts w:eastAsia="SimSun"/>
              </w:rPr>
            </w:pPr>
            <w:r w:rsidRPr="00574C39">
              <w:t>BWP - assessor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BBA7A9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4BFE207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1802ED69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2A8A2065" w14:textId="77777777">
            <w:pPr>
              <w:pStyle w:val="BodytextAgency"/>
              <w:rPr>
                <w:rFonts w:eastAsia="SimSun"/>
              </w:rPr>
            </w:pPr>
            <w:r w:rsidRPr="00574C39">
              <w:t>Blanka Hirschlerova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0098DD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993786D" w14:textId="77777777">
            <w:pPr>
              <w:pStyle w:val="BodytextAgency"/>
              <w:rPr>
                <w:rFonts w:eastAsia="SimSun"/>
              </w:rPr>
            </w:pPr>
            <w:r w:rsidRPr="00574C39">
              <w:t>QWP - 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97FC91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0652228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90BE9B6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435A8540" w14:textId="77777777">
            <w:pPr>
              <w:pStyle w:val="BodytextAgency"/>
              <w:rPr>
                <w:rFonts w:eastAsia="SimSun"/>
              </w:rPr>
            </w:pPr>
            <w:r w:rsidRPr="00574C39">
              <w:t>Sven-Erik Hillver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2B6B34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60797A2" w14:textId="77777777">
            <w:pPr>
              <w:pStyle w:val="BodytextAgency"/>
              <w:rPr>
                <w:rFonts w:eastAsia="SimSun"/>
              </w:rPr>
            </w:pPr>
            <w:r w:rsidRPr="00574C39">
              <w:t>QWP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C51059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No </w:t>
            </w: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2B500CE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4924372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1911C542" w14:textId="77777777">
            <w:pPr>
              <w:pStyle w:val="BodytextAgency"/>
              <w:rPr>
                <w:rFonts w:eastAsia="SimSun"/>
              </w:rPr>
            </w:pPr>
            <w:r w:rsidRPr="00574C39">
              <w:t>Jean-Michel Dogne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9C93C2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815B9CD" w14:textId="77777777">
            <w:pPr>
              <w:pStyle w:val="BodytextAgency"/>
            </w:pPr>
            <w:r w:rsidRPr="00574C39">
              <w:t>PRAC, WHO GACVS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485BD3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69B80B3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82B6F07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31528A" w:rsidP="00A56515" w14:paraId="0A3254CB" w14:textId="77777777">
            <w:pPr>
              <w:pStyle w:val="BodytextAgency"/>
              <w:rPr>
                <w:rFonts w:eastAsia="SimSun"/>
                <w:lang w:val="fr-FR"/>
              </w:rPr>
            </w:pPr>
            <w:r w:rsidRPr="0031528A">
              <w:rPr>
                <w:lang w:val="fr-FR"/>
              </w:rPr>
              <w:t>Ann Marie Janson Lang (MPA SE)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7EBA43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606F1B3" w14:textId="77777777">
            <w:pPr>
              <w:pStyle w:val="BodytextAgency"/>
            </w:pPr>
            <w:r w:rsidRPr="00574C39">
              <w:t>CTFG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3732A3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3427065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2EABDD4C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154F5290" w14:textId="77777777">
            <w:pPr>
              <w:pStyle w:val="BodytextAgency"/>
              <w:rPr>
                <w:rFonts w:eastAsia="SimSun"/>
              </w:rPr>
            </w:pPr>
            <w:r w:rsidRPr="00574C39">
              <w:t>Eleonora Wijnans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F1F0AD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4EEF016" w14:textId="77777777">
            <w:pPr>
              <w:pStyle w:val="BodytextAgency"/>
              <w:rPr>
                <w:rFonts w:eastAsia="SimSun"/>
              </w:rPr>
            </w:pPr>
            <w:r w:rsidRPr="00574C39">
              <w:t>VWP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D7D2EA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No </w:t>
            </w: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267341B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44D648E1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125576B7" w14:textId="77777777">
            <w:pPr>
              <w:pStyle w:val="BodytextAgency"/>
              <w:rPr>
                <w:rFonts w:eastAsia="SimSun"/>
              </w:rPr>
            </w:pPr>
            <w:r w:rsidRPr="00574C39">
              <w:t>Jacqueline Kerr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3B8169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8482720" w14:textId="77777777">
            <w:pPr>
              <w:pStyle w:val="BodytextAgency"/>
              <w:rPr>
                <w:rFonts w:eastAsia="SimSun"/>
              </w:rPr>
            </w:pPr>
            <w:r w:rsidRPr="00574C39">
              <w:t>BPWP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311E95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61318C0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7FFA859E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6BB6CA22" w14:textId="77777777">
            <w:pPr>
              <w:pStyle w:val="BodytextAgency"/>
              <w:rPr>
                <w:rFonts w:eastAsia="SimSun"/>
              </w:rPr>
            </w:pPr>
            <w:r w:rsidRPr="00574C39">
              <w:t>Ita Walsh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E7577D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B83EFFD" w14:textId="77777777">
            <w:pPr>
              <w:pStyle w:val="BodytextAgency"/>
              <w:rPr>
                <w:rFonts w:eastAsia="SimSun"/>
              </w:rPr>
            </w:pPr>
            <w:r w:rsidRPr="00574C39">
              <w:t>BPWP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F9A982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18CCB2F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002F617E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48E50113" w14:textId="77777777">
            <w:pPr>
              <w:pStyle w:val="BodytextAgency"/>
            </w:pPr>
            <w:r w:rsidRPr="00574C39">
              <w:t>Agustin Portela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467075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F91CC2E" w14:textId="77777777">
            <w:pPr>
              <w:pStyle w:val="BodytextAgency"/>
            </w:pPr>
            <w:r w:rsidRPr="00574C39">
              <w:t>VWP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752DB4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30B3E39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Full </w:t>
            </w: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involvement</w:t>
            </w:r>
          </w:p>
        </w:tc>
      </w:tr>
      <w:tr w14:paraId="0C6F5003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shd w:val="clear" w:color="auto" w:fill="E1E3F2"/>
          </w:tcPr>
          <w:p w:rsidR="008F4882" w:rsidRPr="00574C39" w:rsidP="00A56515" w14:paraId="34BBCA62" w14:textId="77777777">
            <w:pPr>
              <w:pStyle w:val="BodytextAgency"/>
            </w:pPr>
            <w:r w:rsidRPr="00574C39">
              <w:t>Isabelle Bekeredjian- Ding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34FE08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A6480FD" w14:textId="77777777">
            <w:pPr>
              <w:pStyle w:val="BodytextAgency"/>
            </w:pPr>
            <w:r w:rsidRPr="00574C39">
              <w:t>VWP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CB558B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2419CA3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08FB791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55D472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Ulla Wändel Liminga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67E6DC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B45DB8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PRAC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204D13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0DDC1EA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20988298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482258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Martin Huber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FE7269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1C0CB5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PRAC – vice-chair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C46C4D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01FB4BD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Full </w:t>
            </w: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involvement</w:t>
            </w:r>
          </w:p>
        </w:tc>
      </w:tr>
      <w:tr w14:paraId="1E3816AE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5D6C9C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Daniel Morales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C06B4F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Member 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85A8A3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PRAC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474D89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31A4E6D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458A2BEA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31528A" w:rsidP="00A56515" w14:paraId="68CAC582" w14:textId="77777777">
            <w:pPr>
              <w:rPr>
                <w:rFonts w:ascii="Verdana" w:eastAsia="SimSun" w:hAnsi="Verdana"/>
                <w:sz w:val="18"/>
                <w:szCs w:val="18"/>
                <w:lang w:val="nl-NL" w:eastAsia="en-GB"/>
              </w:rPr>
            </w:pPr>
            <w:r w:rsidRPr="0031528A">
              <w:rPr>
                <w:rFonts w:ascii="Verdana" w:eastAsia="SimSun" w:hAnsi="Verdana"/>
                <w:sz w:val="18"/>
                <w:szCs w:val="18"/>
                <w:lang w:val="nl-NL" w:eastAsia="en-GB"/>
              </w:rPr>
              <w:t>Kora Doorduyn - van der Stoep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608043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C9577D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CMDh -chair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D24054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79EAF37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2D62D243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31528A" w:rsidP="00A56515" w14:paraId="60C37F35" w14:textId="77777777">
            <w:pPr>
              <w:rPr>
                <w:rFonts w:ascii="Verdana" w:eastAsia="SimSun" w:hAnsi="Verdana"/>
                <w:sz w:val="18"/>
                <w:szCs w:val="18"/>
                <w:lang w:val="pt-PT" w:eastAsia="en-GB"/>
              </w:rPr>
            </w:pPr>
            <w:r w:rsidRPr="0031528A">
              <w:rPr>
                <w:rFonts w:ascii="Verdana" w:eastAsia="SimSun" w:hAnsi="Verdana"/>
                <w:sz w:val="18"/>
                <w:szCs w:val="18"/>
                <w:lang w:val="pt-PT" w:eastAsia="en-GB"/>
              </w:rPr>
              <w:t>Rui Pedro da Costa Vilar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6F3EDD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Member 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6F940C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CMDh - alternate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336F80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No interests </w:t>
            </w: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1ED6B17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0D6E4FB1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329186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Jan Müller-Berghaus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A98F20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88966C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SAWP and CAT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A39E77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2A72B3F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B288799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BF3E7A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Sara Galluzzo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70BE8C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EED3F8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PDCO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EAC05B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3863791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54C3194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CE6CD2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Sabine Mayrhofer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D5A13F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3BC8B5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CHMP - Expert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339C99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0AF788E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65140659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716D9E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Ingrid Schellens</w:t>
            </w:r>
          </w:p>
          <w:p w:rsidR="008F4882" w:rsidRPr="00574C39" w:rsidP="00A56515" w14:paraId="72B326C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DE447C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9A3B90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SAWP Alternate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8FDF97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02572AD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49E10C42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C4468A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Charlotta Bergquist</w:t>
            </w:r>
          </w:p>
          <w:p w:rsidR="008F4882" w:rsidRPr="00574C39" w:rsidP="00A56515" w14:paraId="7770148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1D15A6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7864B4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VWP - member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602DA8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6686511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13C59CB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9A02F5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Dagmar Stara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144337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Member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077D59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049EEE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5F5DEC3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24D2E14F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34D89B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Edit </w:t>
            </w: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Szepessy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0A97B4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Expert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0EA995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308D2C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448B088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D7B217A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91A6B5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Kristof Bonnarens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595BC8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Expert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C6F716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A5E196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1701DCA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006FD019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7C0163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Laurence O'Dwyer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F2228F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Expert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C8A101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EU IN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797974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2D93214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0B029B70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C8F10D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Kaisa Immonen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78700E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Observer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13B2EB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Civil society - observer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67CA36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574C39">
              <w:rPr>
                <w:rFonts w:ascii="Verdana" w:hAnsi="Verdana" w:cs="Arial"/>
                <w:sz w:val="18"/>
                <w:szCs w:val="18"/>
              </w:rPr>
              <w:t>restrictions applicable to this meeting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1695C71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21F1B55C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E11DD5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Leire Solis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E665C8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Alternate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7F7965C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Civil society - observer alternate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050049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hAnsi="Verdana" w:cs="Arial"/>
                <w:sz w:val="18"/>
                <w:szCs w:val="18"/>
              </w:rPr>
              <w:t>No restrictions applicable to this meeting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58CBEA8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6CF6AFE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0C73C40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Anita Simond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65F351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Observer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D83DAD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Civil society - observer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6703CA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hAnsi="Verdana" w:cs="Arial"/>
                <w:sz w:val="18"/>
                <w:szCs w:val="18"/>
              </w:rPr>
              <w:t xml:space="preserve">No restrictions </w:t>
            </w:r>
            <w:r w:rsidRPr="00574C39">
              <w:rPr>
                <w:rFonts w:ascii="Verdana" w:hAnsi="Verdana" w:cs="Arial"/>
                <w:sz w:val="18"/>
                <w:szCs w:val="18"/>
              </w:rPr>
              <w:t>applicable to this meeting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6AD2DF5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4E1FA9D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E48704F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Tiago Villanueva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C095EF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Alternate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E8D028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Civil society - observer alternate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2A68B8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6A435A09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3D89463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5C582FBA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Marco Cavaleri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E2BD27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ETF - chair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32367F58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EMA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FC0117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366AA21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3F4DB68E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6C1598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Manuela Mura (or relevant back </w:t>
            </w: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-up)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129384E7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ETF Secretariat (vaccines)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05E5FFE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EMA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F957773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2414715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33DBBC3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3614126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Radu Botgros (or relevant back -up)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650D274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ETF Secretariat (therapeutics)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44A955F1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EMA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F52D56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No 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17D14B2D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  <w:tr w14:paraId="5E6A4FE9" w14:textId="77777777" w:rsidTr="00A56515">
        <w:tblPrEx>
          <w:tblW w:w="5000" w:type="pct"/>
          <w:tblLook w:val="01E0"/>
        </w:tblPrEx>
        <w:trPr>
          <w:trHeight w:val="397"/>
        </w:trPr>
        <w:tc>
          <w:tcPr>
            <w:tcW w:w="1334" w:type="pc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02590D72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Katarzyna Turobos (or relevant back -up)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D658D9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ETF Secretariat</w:t>
            </w:r>
          </w:p>
        </w:tc>
        <w:tc>
          <w:tcPr>
            <w:tcW w:w="998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2BF54554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EMA</w:t>
            </w:r>
          </w:p>
        </w:tc>
        <w:tc>
          <w:tcPr>
            <w:tcW w:w="835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</w:tcPr>
          <w:p w:rsidR="008F4882" w:rsidRPr="00574C39" w:rsidP="00A56515" w14:paraId="7B717AD5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 xml:space="preserve">No </w:t>
            </w: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interests declared</w:t>
            </w:r>
          </w:p>
        </w:tc>
        <w:tc>
          <w:tcPr>
            <w:tcW w:w="997" w:type="pct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</w:tcPr>
          <w:p w:rsidR="008F4882" w:rsidRPr="00574C39" w:rsidP="00A56515" w14:paraId="4B823CFB" w14:textId="77777777">
            <w:pPr>
              <w:rPr>
                <w:rFonts w:ascii="Verdana" w:eastAsia="SimSun" w:hAnsi="Verdana"/>
                <w:sz w:val="18"/>
                <w:szCs w:val="18"/>
                <w:lang w:eastAsia="en-GB"/>
              </w:rPr>
            </w:pPr>
            <w:r w:rsidRPr="00574C39">
              <w:rPr>
                <w:rFonts w:ascii="Verdana" w:eastAsia="SimSun" w:hAnsi="Verdana"/>
                <w:sz w:val="18"/>
                <w:szCs w:val="18"/>
                <w:lang w:eastAsia="en-GB"/>
              </w:rPr>
              <w:t>Full involvement</w:t>
            </w:r>
          </w:p>
        </w:tc>
      </w:tr>
    </w:tbl>
    <w:p w:rsidR="008F4882" w:rsidRPr="00574C39" w:rsidP="00A32F90" w14:paraId="2F88789C" w14:textId="77777777">
      <w:pPr>
        <w:spacing w:after="140" w:line="280" w:lineRule="atLeast"/>
        <w:rPr>
          <w:rFonts w:ascii="Verdana" w:eastAsia="Verdana" w:hAnsi="Verdana"/>
          <w:sz w:val="18"/>
          <w:szCs w:val="18"/>
          <w:lang w:eastAsia="en-GB"/>
        </w:rPr>
      </w:pPr>
    </w:p>
    <w:sectPr w:rsidSect="00735C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247" w:bottom="1418" w:left="1247" w:header="284" w:footer="68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0D89" w14:paraId="7A5CFD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1E0"/>
    </w:tblPr>
    <w:tblGrid>
      <w:gridCol w:w="6195"/>
      <w:gridCol w:w="3217"/>
    </w:tblGrid>
    <w:tr w14:paraId="72FD29DE" w14:textId="77777777">
      <w:tblPrEx>
        <w:tblW w:w="5000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0D89" w14:paraId="57DDCC8D" w14:textId="77777777">
          <w:pPr>
            <w:pStyle w:val="FooterAgency"/>
          </w:pPr>
        </w:p>
      </w:tc>
    </w:tr>
    <w:tr w14:paraId="4D28B1C1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260D89" w14:paraId="753C1205" w14:textId="77B1B7B6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Pr="00934D80">
            <w:fldChar w:fldCharType="begin"/>
          </w:r>
          <w:r>
            <w:instrText xml:space="preserve"> STYLEREF  "Doc title (Agency)"  \* MERGEFORMAT </w:instrText>
          </w:r>
          <w:r w:rsidRPr="00934D80">
            <w:fldChar w:fldCharType="separate"/>
          </w:r>
          <w:r w:rsidRPr="004111C8" w:rsidR="004111C8">
            <w:rPr>
              <w:b/>
              <w:bCs/>
              <w:noProof/>
              <w:lang w:val="en-US"/>
            </w:rPr>
            <w:instrText>Summary of the ETF meeting on</w:instrText>
          </w:r>
          <w:r w:rsidR="004111C8">
            <w:rPr>
              <w:noProof/>
            </w:rPr>
            <w:instrText xml:space="preserve"> vaccines against COVID-19</w:instrText>
          </w:r>
          <w:r w:rsidRPr="00934D80">
            <w:rPr>
              <w:b/>
              <w:bCs/>
              <w:noProof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 w:rsidR="00106E63">
            <w:fldChar w:fldCharType="begin"/>
          </w:r>
          <w:r>
            <w:instrText xml:space="preserve"> STYLEREF  "Doc title (Agency)"  \* MERGEFORMAT </w:instrText>
          </w:r>
          <w:r w:rsidR="00106E63">
            <w:fldChar w:fldCharType="separate"/>
          </w:r>
          <w:r w:rsidR="004111C8">
            <w:rPr>
              <w:noProof/>
            </w:rPr>
            <w:instrText>Summary of the ETF meeting on vaccines against COVID-19</w:instrText>
          </w:r>
          <w:r w:rsidR="00106E63">
            <w:rPr>
              <w:noProof/>
            </w:rP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4111C8">
            <w:rPr>
              <w:noProof/>
            </w:rPr>
            <w:t>Summary of the ETF meeting on vaccines against COVID-19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260D89" w14:paraId="1C8C4B12" w14:textId="77777777">
          <w:pPr>
            <w:pStyle w:val="FooterAgency"/>
          </w:pPr>
        </w:p>
      </w:tc>
    </w:tr>
    <w:tr w14:paraId="7BDCD725" w14:textId="77777777">
      <w:tblPrEx>
        <w:tblW w:w="5000" w:type="pct"/>
        <w:tblLook w:val="01E0"/>
      </w:tblPrEx>
      <w:tc>
        <w:tcPr>
          <w:tcW w:w="3291" w:type="pct"/>
          <w:tcMar>
            <w:left w:w="0" w:type="dxa"/>
            <w:right w:w="0" w:type="dxa"/>
          </w:tcMar>
        </w:tcPr>
        <w:p w:rsidR="00260D89" w14:paraId="2D380624" w14:textId="77777777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Pr="009F71DA">
            <w:fldChar w:fldCharType="begin"/>
          </w:r>
          <w:r>
            <w:instrText xml:space="preserve"> DOCPROPERTY "DM_emea_doc_ref_id"  \* MERGEFORMAT </w:instrText>
          </w:r>
          <w:r w:rsidRPr="009F71DA">
            <w:fldChar w:fldCharType="separate"/>
          </w:r>
          <w:r w:rsidRPr="008B4E99">
            <w:rPr>
              <w:b/>
              <w:bCs/>
              <w:lang w:val="en-US"/>
            </w:rPr>
            <w:instrText>EMA/634278/2020</w:instrText>
          </w:r>
          <w:r w:rsidRPr="009F71DA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>
            <w:fldChar w:fldCharType="begin"/>
          </w:r>
          <w:r>
            <w:instrText xml:space="preserve"> DOCPROPERTY "DM_emea_doc_ref_id"  \* MERGEFORMAT </w:instrText>
          </w:r>
          <w:r>
            <w:fldChar w:fldCharType="separate"/>
          </w:r>
          <w:r>
            <w:instrText>EMA/634278/2020</w:instrText>
          </w:r>
          <w: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>EMA/634278/2020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:rsidR="00260D89" w14:paraId="5950626D" w14:textId="77777777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1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1</w:t>
          </w:r>
          <w:r>
            <w:rPr>
              <w:rStyle w:val="PageNumberAgency0"/>
            </w:rPr>
            <w:fldChar w:fldCharType="end"/>
          </w:r>
        </w:p>
      </w:tc>
    </w:tr>
  </w:tbl>
  <w:p w:rsidR="00260D89" w:rsidP="009F71DA" w14:paraId="6236A7B1" w14:textId="77777777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ayout w:type="fixed"/>
      <w:tblLook w:val="01E0"/>
    </w:tblPr>
    <w:tblGrid>
      <w:gridCol w:w="6520"/>
      <w:gridCol w:w="2892"/>
    </w:tblGrid>
    <w:tr w14:paraId="11B3E7D2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260D89" w14:paraId="4B36D5C6" w14:textId="77777777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 w14:paraId="75372985" w14:textId="77777777">
      <w:tblPrEx>
        <w:tblW w:w="5000" w:type="pct"/>
        <w:tblLayout w:type="fixed"/>
        <w:tblLook w:val="01E0"/>
      </w:tblPrEx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:rsidR="00260D89" w14:paraId="3DD1236E" w14:textId="77777777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  <w:r>
            <w:rPr>
              <w:rFonts w:ascii="Verdana" w:eastAsia="Verdana" w:hAnsi="Verdana" w:cs="Verdana"/>
              <w:b/>
              <w:color w:val="003399"/>
              <w:sz w:val="13"/>
              <w:szCs w:val="14"/>
              <w:lang w:eastAsia="en-GB"/>
            </w:rPr>
            <w:t>Official address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  Domenico Scarlattilaan 6  </w:t>
          </w:r>
          <w:r>
            <w:rPr>
              <w:rFonts w:ascii="Verdana" w:eastAsia="Verdana" w:hAnsi="Verdana" w:cs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  1083 HS Amsterdam  </w:t>
          </w:r>
          <w:r>
            <w:rPr>
              <w:rFonts w:ascii="Verdana" w:eastAsia="Verdana" w:hAnsi="Verdana" w:cs="Verdana"/>
              <w:b/>
              <w:color w:val="003399"/>
              <w:sz w:val="13"/>
              <w:szCs w:val="14"/>
              <w:lang w:eastAsia="en-GB"/>
            </w:rPr>
            <w:t>●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/>
          </w:tblPr>
          <w:tblGrid>
            <w:gridCol w:w="2183"/>
            <w:gridCol w:w="709"/>
          </w:tblGrid>
          <w:tr w14:paraId="05F8BFB3" w14:textId="77777777">
            <w:tblPrEx>
              <w:tblW w:w="0" w:type="auto"/>
              <w:jc w:val="right"/>
              <w:tblLayout w:type="fixed"/>
              <w:tblLook w:val="01E0"/>
            </w:tblPrEx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60D89" w14:paraId="1B48F905" w14:textId="77777777">
                <w:pPr>
                  <w:jc w:val="right"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color w:val="6D6F71"/>
                    <w:sz w:val="11"/>
                    <w:szCs w:val="11"/>
                    <w:lang w:eastAsia="en-GB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:rsidR="00260D89" w14:paraId="59860849" w14:textId="77777777">
                <w:pPr>
                  <w:jc w:val="right"/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noProof/>
                    <w:color w:val="6D6F71"/>
                    <w:sz w:val="14"/>
                    <w:szCs w:val="14"/>
                    <w:lang w:eastAsia="en-GB"/>
                  </w:rPr>
                  <w:drawing>
                    <wp:inline distT="0" distB="0" distL="0" distR="0">
                      <wp:extent cx="390525" cy="266700"/>
                      <wp:effectExtent l="0" t="0" r="9525" b="0"/>
                      <wp:docPr id="3" name="Picture 3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1858209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14:paraId="5C445B7D" w14:textId="77777777">
            <w:tblPrEx>
              <w:tblW w:w="0" w:type="auto"/>
              <w:jc w:val="right"/>
              <w:tblLayout w:type="fixed"/>
              <w:tblLook w:val="01E0"/>
            </w:tblPrEx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:rsidR="00260D89" w14:paraId="32DEEE13" w14:textId="77777777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  <w:tc>
              <w:tcPr>
                <w:tcW w:w="709" w:type="dxa"/>
                <w:vMerge/>
              </w:tcPr>
              <w:p w:rsidR="00260D89" w14:paraId="2D6023A6" w14:textId="77777777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</w:p>
            </w:tc>
          </w:tr>
        </w:tbl>
        <w:p w:rsidR="00260D89" w14:paraId="4576AF7D" w14:textId="77777777">
          <w:pPr>
            <w:widowControl w:val="0"/>
            <w:adjustRightInd w:val="0"/>
            <w:jc w:val="right"/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 w14:paraId="07311765" w14:textId="77777777">
      <w:tblPrEx>
        <w:tblW w:w="5000" w:type="pct"/>
        <w:tblLayout w:type="fixed"/>
        <w:tblLook w:val="01E0"/>
      </w:tblPrEx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4111"/>
            <w:gridCol w:w="2410"/>
          </w:tblGrid>
          <w:tr w14:paraId="31476F57" w14:textId="77777777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:rsidR="00260D89" w14:paraId="6040CEB9" w14:textId="77777777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  <w:t>Address for visits and deliveries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  <w:t xml:space="preserve">  Refer to </w:t>
                </w:r>
                <w:r>
                  <w:rPr>
                    <w:rFonts w:ascii="Verdana" w:eastAsia="Verdana" w:hAnsi="Verdana" w:cs="Verdana"/>
                    <w:color w:val="808080"/>
                    <w:sz w:val="14"/>
                    <w:szCs w:val="14"/>
                    <w:lang w:eastAsia="en-GB"/>
                  </w:rPr>
                  <w:t xml:space="preserve">www.ema.europa.eu/how-to-find-us </w:t>
                </w:r>
              </w:p>
            </w:tc>
          </w:tr>
          <w:tr w14:paraId="5091F9DE" w14:textId="77777777">
            <w:tblPrEx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260D89" w14:paraId="1C87382C" w14:textId="77777777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  <w:t xml:space="preserve">Send us a question  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  <w:t xml:space="preserve">Go to </w:t>
                </w:r>
                <w:r>
                  <w:rPr>
                    <w:rFonts w:ascii="Verdana" w:eastAsia="Verdana" w:hAnsi="Verdana" w:cs="Verdana"/>
                    <w:color w:val="808080"/>
                    <w:sz w:val="14"/>
                    <w:szCs w:val="14"/>
                    <w:lang w:eastAsia="en-GB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:rsidR="00260D89" w14:paraId="0A82A21D" w14:textId="77777777">
                <w:pP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  <w:lang w:eastAsia="en-GB"/>
                  </w:rPr>
                  <w:t>Telephone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  <w:lang w:eastAsia="en-GB"/>
                  </w:rPr>
                  <w:t xml:space="preserve"> +31 (0)88 781 6000</w:t>
                </w:r>
              </w:p>
            </w:tc>
          </w:tr>
        </w:tbl>
        <w:p w:rsidR="00260D89" w14:paraId="0B2B907E" w14:textId="77777777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:rsidR="00260D89" w14:paraId="2152F942" w14:textId="77777777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 w14:paraId="243D5BFE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260D89" w14:paraId="015B3CEF" w14:textId="77777777">
          <w:pP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</w:p>
      </w:tc>
    </w:tr>
    <w:tr w14:paraId="2B9D04C7" w14:textId="77777777">
      <w:tblPrEx>
        <w:tblW w:w="5000" w:type="pct"/>
        <w:tblLayout w:type="fixed"/>
        <w:tblLook w:val="01E0"/>
      </w:tblPrEx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:rsidR="00260D89" w14:paraId="60FED778" w14:textId="2AB0307D">
          <w:pPr>
            <w:jc w:val="center"/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</w:pP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 xml:space="preserve">© European Medicines Agency, 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fldChar w:fldCharType="begin"/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instrText xml:space="preserve"> DATE  \@ "yyyy"  \* MERGEFORMAT </w:instrTex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fldChar w:fldCharType="separate"/>
          </w:r>
          <w:r w:rsidR="004111C8">
            <w:rPr>
              <w:rFonts w:ascii="Verdana" w:eastAsia="Verdana" w:hAnsi="Verdana" w:cs="Verdana"/>
              <w:noProof/>
              <w:color w:val="6D6F71"/>
              <w:sz w:val="14"/>
              <w:szCs w:val="14"/>
              <w:lang w:eastAsia="en-GB"/>
            </w:rPr>
            <w:t>2020</w:t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fldChar w:fldCharType="end"/>
          </w:r>
          <w:r>
            <w:rPr>
              <w:rFonts w:ascii="Verdana" w:eastAsia="Verdana" w:hAnsi="Verdana" w:cs="Verdana"/>
              <w:color w:val="6D6F71"/>
              <w:sz w:val="14"/>
              <w:szCs w:val="14"/>
              <w:lang w:eastAsia="en-GB"/>
            </w:rPr>
            <w:t>. Reproduction is authorised provided the source is acknowledged.</w:t>
          </w:r>
        </w:p>
      </w:tc>
    </w:tr>
  </w:tbl>
  <w:p w:rsidR="00260D89" w:rsidP="00735C35" w14:paraId="41CD10EC" w14:textId="77777777">
    <w:pPr>
      <w:pStyle w:val="FooterAgenc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0D89" w14:paraId="6A64ACF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0D89" w14:paraId="033D1E3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0D89" w:rsidP="00735C35" w14:paraId="61BCDFC3" w14:textId="77777777">
    <w:pPr>
      <w:pStyle w:val="FooterAgency"/>
      <w:jc w:val="center"/>
    </w:pPr>
    <w:r>
      <w:rPr>
        <w:noProof/>
      </w:rPr>
      <w:drawing>
        <wp:inline distT="0" distB="0" distL="0" distR="0">
          <wp:extent cx="3558600" cy="1796400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6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>
    <w:nsid w:val="5B2C656F"/>
    <w:multiLevelType w:val="hybridMultilevel"/>
    <w:tmpl w:val="1DE09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8">
    <w:nsid w:val="7558779A"/>
    <w:multiLevelType w:val="hybridMultilevel"/>
    <w:tmpl w:val="4CC6B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B14A3"/>
    <w:multiLevelType w:val="hybridMultilevel"/>
    <w:tmpl w:val="A62C7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  <w:num w:numId="16">
    <w:abstractNumId w:val="5"/>
    <w:lvlOverride w:ilvl="0">
      <w:lvl w:ilvl="0">
        <w:start w:val="1"/>
        <w:numFmt w:val="decimal"/>
        <w:lvlText w:val="%1. "/>
        <w:lvlJc w:val="left"/>
        <w:pPr>
          <w:tabs>
            <w:tab w:val="num" w:pos="5312"/>
          </w:tabs>
          <w:ind w:left="5312" w:hanging="99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 "/>
        <w:lvlJc w:val="left"/>
        <w:pPr>
          <w:tabs>
            <w:tab w:val="num" w:pos="6304"/>
          </w:tabs>
          <w:ind w:left="6304" w:hanging="9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 "/>
        <w:lvlJc w:val="left"/>
        <w:pPr>
          <w:tabs>
            <w:tab w:val="num" w:pos="7296"/>
          </w:tabs>
          <w:ind w:left="7296" w:hanging="992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 "/>
        <w:lvlJc w:val="left"/>
        <w:pPr>
          <w:tabs>
            <w:tab w:val="num" w:pos="8288"/>
          </w:tabs>
          <w:ind w:left="8288" w:hanging="992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 "/>
        <w:lvlJc w:val="left"/>
        <w:pPr>
          <w:ind w:left="9280" w:hanging="992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 "/>
        <w:lvlJc w:val="left"/>
        <w:pPr>
          <w:ind w:left="10272" w:hanging="992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 "/>
        <w:lvlJc w:val="left"/>
        <w:pPr>
          <w:ind w:left="11264" w:hanging="992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 "/>
        <w:lvlJc w:val="left"/>
        <w:pPr>
          <w:ind w:left="12256" w:hanging="992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 "/>
        <w:lvlJc w:val="left"/>
        <w:pPr>
          <w:ind w:left="13248" w:hanging="992"/>
        </w:pPr>
        <w:rPr>
          <w:rFonts w:hint="default"/>
        </w:rPr>
      </w:lvl>
    </w:lvlOverride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35"/>
    <w:rsid w:val="00015D4F"/>
    <w:rsid w:val="00016F91"/>
    <w:rsid w:val="00017876"/>
    <w:rsid w:val="000218EC"/>
    <w:rsid w:val="00032AEC"/>
    <w:rsid w:val="00057352"/>
    <w:rsid w:val="00060FBB"/>
    <w:rsid w:val="00061FAF"/>
    <w:rsid w:val="0006798E"/>
    <w:rsid w:val="0008581E"/>
    <w:rsid w:val="000A101F"/>
    <w:rsid w:val="000A2664"/>
    <w:rsid w:val="000B26CD"/>
    <w:rsid w:val="000B7F06"/>
    <w:rsid w:val="000C0CD9"/>
    <w:rsid w:val="000D6AF6"/>
    <w:rsid w:val="000E6CD0"/>
    <w:rsid w:val="000F29EB"/>
    <w:rsid w:val="000F45E3"/>
    <w:rsid w:val="000F7E69"/>
    <w:rsid w:val="00102BC4"/>
    <w:rsid w:val="00103C8C"/>
    <w:rsid w:val="00106E63"/>
    <w:rsid w:val="001143CE"/>
    <w:rsid w:val="00114D9F"/>
    <w:rsid w:val="00117E8C"/>
    <w:rsid w:val="00133F7F"/>
    <w:rsid w:val="0015592E"/>
    <w:rsid w:val="00167C45"/>
    <w:rsid w:val="00183BBB"/>
    <w:rsid w:val="00185FC2"/>
    <w:rsid w:val="00195347"/>
    <w:rsid w:val="001A56DE"/>
    <w:rsid w:val="001A6732"/>
    <w:rsid w:val="001B3F0C"/>
    <w:rsid w:val="001C37EB"/>
    <w:rsid w:val="001C5279"/>
    <w:rsid w:val="001E20D7"/>
    <w:rsid w:val="001E242A"/>
    <w:rsid w:val="001E6C2E"/>
    <w:rsid w:val="001F28A2"/>
    <w:rsid w:val="002303FB"/>
    <w:rsid w:val="0023191A"/>
    <w:rsid w:val="00233EDA"/>
    <w:rsid w:val="00240FAC"/>
    <w:rsid w:val="00242933"/>
    <w:rsid w:val="00260D89"/>
    <w:rsid w:val="00270E5B"/>
    <w:rsid w:val="002B4FBC"/>
    <w:rsid w:val="002C6201"/>
    <w:rsid w:val="002C6CC0"/>
    <w:rsid w:val="002E604A"/>
    <w:rsid w:val="002F2813"/>
    <w:rsid w:val="002F7D16"/>
    <w:rsid w:val="002F7DE9"/>
    <w:rsid w:val="00306404"/>
    <w:rsid w:val="00310098"/>
    <w:rsid w:val="0031528A"/>
    <w:rsid w:val="00316D28"/>
    <w:rsid w:val="00320837"/>
    <w:rsid w:val="00321B55"/>
    <w:rsid w:val="00324B70"/>
    <w:rsid w:val="0033636B"/>
    <w:rsid w:val="00344529"/>
    <w:rsid w:val="003506E1"/>
    <w:rsid w:val="003532EB"/>
    <w:rsid w:val="0035473F"/>
    <w:rsid w:val="003610F1"/>
    <w:rsid w:val="003879D3"/>
    <w:rsid w:val="003A3B60"/>
    <w:rsid w:val="003B75E8"/>
    <w:rsid w:val="004111C8"/>
    <w:rsid w:val="004122A5"/>
    <w:rsid w:val="00443D4A"/>
    <w:rsid w:val="004714FD"/>
    <w:rsid w:val="00475369"/>
    <w:rsid w:val="0049256C"/>
    <w:rsid w:val="004A228D"/>
    <w:rsid w:val="004A61BA"/>
    <w:rsid w:val="004C19FD"/>
    <w:rsid w:val="004E1042"/>
    <w:rsid w:val="004F1044"/>
    <w:rsid w:val="004F5CB7"/>
    <w:rsid w:val="00517122"/>
    <w:rsid w:val="005461CB"/>
    <w:rsid w:val="005630E1"/>
    <w:rsid w:val="00574C39"/>
    <w:rsid w:val="00577B07"/>
    <w:rsid w:val="00585251"/>
    <w:rsid w:val="005B1D5A"/>
    <w:rsid w:val="005B68D3"/>
    <w:rsid w:val="005D5487"/>
    <w:rsid w:val="005E463B"/>
    <w:rsid w:val="00610681"/>
    <w:rsid w:val="006122E1"/>
    <w:rsid w:val="006379A5"/>
    <w:rsid w:val="00642723"/>
    <w:rsid w:val="00650235"/>
    <w:rsid w:val="006505E1"/>
    <w:rsid w:val="0065697D"/>
    <w:rsid w:val="006634EE"/>
    <w:rsid w:val="006866B9"/>
    <w:rsid w:val="006935FB"/>
    <w:rsid w:val="006A5F72"/>
    <w:rsid w:val="006B300A"/>
    <w:rsid w:val="006D0DDB"/>
    <w:rsid w:val="006F64EF"/>
    <w:rsid w:val="00716D99"/>
    <w:rsid w:val="007301B1"/>
    <w:rsid w:val="00731FB0"/>
    <w:rsid w:val="00735C35"/>
    <w:rsid w:val="00750B8D"/>
    <w:rsid w:val="00753A91"/>
    <w:rsid w:val="00767321"/>
    <w:rsid w:val="007758CB"/>
    <w:rsid w:val="00776ED8"/>
    <w:rsid w:val="007826C3"/>
    <w:rsid w:val="00782C9D"/>
    <w:rsid w:val="0079182A"/>
    <w:rsid w:val="00792CE1"/>
    <w:rsid w:val="00795FF1"/>
    <w:rsid w:val="007B5F96"/>
    <w:rsid w:val="007E284E"/>
    <w:rsid w:val="007E4716"/>
    <w:rsid w:val="00800EA6"/>
    <w:rsid w:val="0080301F"/>
    <w:rsid w:val="00804865"/>
    <w:rsid w:val="008059ED"/>
    <w:rsid w:val="0083504D"/>
    <w:rsid w:val="00835E21"/>
    <w:rsid w:val="008608E4"/>
    <w:rsid w:val="008803C9"/>
    <w:rsid w:val="00887637"/>
    <w:rsid w:val="008B4E99"/>
    <w:rsid w:val="008C1A0A"/>
    <w:rsid w:val="008C58EB"/>
    <w:rsid w:val="008E223D"/>
    <w:rsid w:val="008F1AD8"/>
    <w:rsid w:val="008F3406"/>
    <w:rsid w:val="008F4882"/>
    <w:rsid w:val="00913A43"/>
    <w:rsid w:val="00915D76"/>
    <w:rsid w:val="00930822"/>
    <w:rsid w:val="00934D80"/>
    <w:rsid w:val="009459D9"/>
    <w:rsid w:val="00954817"/>
    <w:rsid w:val="00954F02"/>
    <w:rsid w:val="009744EC"/>
    <w:rsid w:val="009818C1"/>
    <w:rsid w:val="00981F06"/>
    <w:rsid w:val="009A20AD"/>
    <w:rsid w:val="009C29CF"/>
    <w:rsid w:val="009E4273"/>
    <w:rsid w:val="009F71DA"/>
    <w:rsid w:val="00A05A65"/>
    <w:rsid w:val="00A226DD"/>
    <w:rsid w:val="00A278A3"/>
    <w:rsid w:val="00A32F90"/>
    <w:rsid w:val="00A419EA"/>
    <w:rsid w:val="00A56515"/>
    <w:rsid w:val="00A62E62"/>
    <w:rsid w:val="00A76DC5"/>
    <w:rsid w:val="00A9150E"/>
    <w:rsid w:val="00A97FE5"/>
    <w:rsid w:val="00AB7C2E"/>
    <w:rsid w:val="00AC2D0C"/>
    <w:rsid w:val="00AC2E8D"/>
    <w:rsid w:val="00AC4B09"/>
    <w:rsid w:val="00AC5617"/>
    <w:rsid w:val="00AD4C80"/>
    <w:rsid w:val="00AF5D53"/>
    <w:rsid w:val="00B10307"/>
    <w:rsid w:val="00B41684"/>
    <w:rsid w:val="00B4418A"/>
    <w:rsid w:val="00B60E9D"/>
    <w:rsid w:val="00B81056"/>
    <w:rsid w:val="00B85EA4"/>
    <w:rsid w:val="00B95D54"/>
    <w:rsid w:val="00BB2682"/>
    <w:rsid w:val="00BE362C"/>
    <w:rsid w:val="00C023F0"/>
    <w:rsid w:val="00C0661D"/>
    <w:rsid w:val="00C11011"/>
    <w:rsid w:val="00C37E43"/>
    <w:rsid w:val="00C424A8"/>
    <w:rsid w:val="00C54263"/>
    <w:rsid w:val="00C571B2"/>
    <w:rsid w:val="00C62A23"/>
    <w:rsid w:val="00C92C35"/>
    <w:rsid w:val="00C93DD8"/>
    <w:rsid w:val="00CA0E2F"/>
    <w:rsid w:val="00CA4B5A"/>
    <w:rsid w:val="00CC086C"/>
    <w:rsid w:val="00CF5D21"/>
    <w:rsid w:val="00D07D1D"/>
    <w:rsid w:val="00D16504"/>
    <w:rsid w:val="00D21408"/>
    <w:rsid w:val="00D35A58"/>
    <w:rsid w:val="00D45BFD"/>
    <w:rsid w:val="00D61E6A"/>
    <w:rsid w:val="00D875DD"/>
    <w:rsid w:val="00DA1946"/>
    <w:rsid w:val="00DB1D8B"/>
    <w:rsid w:val="00DB5D26"/>
    <w:rsid w:val="00DB6F55"/>
    <w:rsid w:val="00DC3D98"/>
    <w:rsid w:val="00DC6210"/>
    <w:rsid w:val="00DD67FC"/>
    <w:rsid w:val="00DF3730"/>
    <w:rsid w:val="00E05468"/>
    <w:rsid w:val="00E3302B"/>
    <w:rsid w:val="00E36A82"/>
    <w:rsid w:val="00E558DA"/>
    <w:rsid w:val="00E607AC"/>
    <w:rsid w:val="00E65502"/>
    <w:rsid w:val="00E70173"/>
    <w:rsid w:val="00E71C86"/>
    <w:rsid w:val="00E85A8A"/>
    <w:rsid w:val="00EE6072"/>
    <w:rsid w:val="00F52DA7"/>
    <w:rsid w:val="00F70F7C"/>
    <w:rsid w:val="00F8202E"/>
    <w:rsid w:val="00F90A27"/>
    <w:rsid w:val="00F932DA"/>
    <w:rsid w:val="00F97C55"/>
    <w:rsid w:val="00FA0CE7"/>
    <w:rsid w:val="00FA54BB"/>
    <w:rsid w:val="00FB38DA"/>
    <w:rsid w:val="00FC6207"/>
    <w:rsid w:val="00FD6373"/>
    <w:rsid w:val="00FD65AC"/>
    <w:rsid w:val="00FE1160"/>
    <w:rsid w:val="00FF3E5A"/>
    <w:rsid w:val="00FF5321"/>
    <w:rsid w:val="00FF6615"/>
  </w:rsids>
  <w:docVars>
    <w:docVar w:name="Registered" w:val="-1"/>
    <w:docVar w:name="Version" w:val="0"/>
  </w:docVars>
  <m:mathPr>
    <m:mathFont m:val="Cambria Math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FEBFE65-CC3D-42AA-91F8-788590B3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rsid w:val="00A76DC5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9F71DA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735C35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Arial Narrow" w:hAnsi="Arial Narrow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Kalinga" w:hAnsi="Kaling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paragraph" w:styleId="BalloonText">
    <w:name w:val="Balloon Text"/>
    <w:basedOn w:val="Normal"/>
    <w:link w:val="BalloonTextChar"/>
    <w:rsid w:val="001C3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7EB"/>
    <w:rPr>
      <w:rFonts w:ascii="Segoe UI" w:hAnsi="Segoe UI" w:cs="Segoe UI"/>
      <w:sz w:val="18"/>
      <w:szCs w:val="18"/>
    </w:rPr>
  </w:style>
  <w:style w:type="character" w:customStyle="1" w:styleId="PageNumberAgency0">
    <w:name w:val="Page Number (Agency)"/>
    <w:rsid w:val="009F71DA"/>
    <w:rPr>
      <w:rFonts w:ascii="Verdana" w:hAnsi="Verdana"/>
      <w:sz w:val="14"/>
    </w:rPr>
  </w:style>
  <w:style w:type="paragraph" w:customStyle="1" w:styleId="Heading3AgencyNEW">
    <w:name w:val="Heading 3 Agency NEW"/>
    <w:basedOn w:val="Normal"/>
    <w:next w:val="Normal"/>
    <w:qFormat/>
    <w:rsid w:val="00A32F90"/>
    <w:pPr>
      <w:keepNext/>
      <w:pBdr>
        <w:bottom w:val="single" w:sz="18" w:space="1" w:color="003399"/>
      </w:pBdr>
      <w:tabs>
        <w:tab w:val="num" w:pos="851"/>
        <w:tab w:val="left" w:pos="1134"/>
      </w:tabs>
      <w:spacing w:before="280" w:after="220"/>
      <w:ind w:left="992" w:hanging="992"/>
      <w:outlineLvl w:val="2"/>
    </w:pPr>
    <w:rPr>
      <w:rFonts w:ascii="Verdana" w:eastAsia="Verdana" w:hAnsi="Verdana" w:cs="Arial"/>
      <w:bCs/>
      <w:color w:val="003399"/>
      <w:kern w:val="32"/>
      <w:sz w:val="20"/>
      <w:szCs w:val="18"/>
      <w:lang w:eastAsia="en-GB"/>
    </w:rPr>
  </w:style>
  <w:style w:type="numbering" w:customStyle="1" w:styleId="ArticleSection1314">
    <w:name w:val="Article / Section1314"/>
    <w:rsid w:val="00A32F90"/>
  </w:style>
  <w:style w:type="paragraph" w:customStyle="1" w:styleId="Heading2Agency0">
    <w:name w:val="Heading 2 Agency"/>
    <w:basedOn w:val="Heading2Agency"/>
    <w:qFormat/>
    <w:rsid w:val="00A32F90"/>
    <w:pPr>
      <w:tabs>
        <w:tab w:val="num" w:pos="851"/>
        <w:tab w:val="left" w:pos="1134"/>
      </w:tabs>
      <w:ind w:left="992" w:hanging="992"/>
    </w:pPr>
    <w:rPr>
      <w:i w:val="0"/>
      <w:color w:val="003399"/>
    </w:rPr>
  </w:style>
  <w:style w:type="character" w:styleId="Hyperlink">
    <w:name w:val="Hyperlink"/>
    <w:uiPriority w:val="99"/>
    <w:rsid w:val="005461CB"/>
    <w:rPr>
      <w:color w:val="0000FF"/>
      <w:u w:val="single"/>
    </w:rPr>
  </w:style>
  <w:style w:type="paragraph" w:customStyle="1" w:styleId="ParagraphAgencyNEW">
    <w:name w:val="Paragraph Agency NEW"/>
    <w:basedOn w:val="Normal"/>
    <w:qFormat/>
    <w:rsid w:val="005461CB"/>
    <w:pPr>
      <w:spacing w:after="140" w:line="280" w:lineRule="atLeast"/>
      <w:ind w:left="992"/>
    </w:pPr>
    <w:rPr>
      <w:rFonts w:ascii="Verdana" w:eastAsia="Verdana" w:hAnsi="Verdana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rsid w:val="00EE60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3C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A0C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0C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0C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0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0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21BC-C914-47CE-BD95-FF1D9687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the ETF meeting on COVID-19 vaccine - 26 November 2020</vt:lpstr>
    </vt:vector>
  </TitlesOfParts>
  <Company>European Medicines Agency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the ETF meeting on COVID-19 vaccine - 26 November 2020</dc:title>
  <dc:creator>Mura Manuela</dc:creator>
  <cp:lastModifiedBy>Mura Manuela</cp:lastModifiedBy>
  <cp:revision>7</cp:revision>
  <cp:lastPrinted>2020-03-26T16:33:00Z</cp:lastPrinted>
  <dcterms:created xsi:type="dcterms:W3CDTF">2020-11-24T10:39:00Z</dcterms:created>
  <dcterms:modified xsi:type="dcterms:W3CDTF">2020-11-28T15:19:00Z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Minutes</vt:lpwstr>
  </property>
  <property fmtid="{D5CDD505-2E9C-101B-9397-08002B2CF9AE}" pid="5" name="DM_Creation_Date">
    <vt:lpwstr>28/11/2020 16:20:00</vt:lpwstr>
  </property>
  <property fmtid="{D5CDD505-2E9C-101B-9397-08002B2CF9AE}" pid="6" name="DM_Creator_Name">
    <vt:lpwstr>Mura Manuela</vt:lpwstr>
  </property>
  <property fmtid="{D5CDD505-2E9C-101B-9397-08002B2CF9AE}" pid="7" name="DM_DocRefId">
    <vt:lpwstr>EMA/634278/2020</vt:lpwstr>
  </property>
  <property fmtid="{D5CDD505-2E9C-101B-9397-08002B2CF9AE}" pid="8" name="DM_emea_doc_ref_id">
    <vt:lpwstr>EMA/634278/2020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Mura Manuela</vt:lpwstr>
  </property>
  <property fmtid="{D5CDD505-2E9C-101B-9397-08002B2CF9AE}" pid="12" name="DM_Modified_Date">
    <vt:lpwstr>28/11/2020 16:20:00</vt:lpwstr>
  </property>
  <property fmtid="{D5CDD505-2E9C-101B-9397-08002B2CF9AE}" pid="13" name="DM_Modifier_Name">
    <vt:lpwstr>Mura Manuela</vt:lpwstr>
  </property>
  <property fmtid="{D5CDD505-2E9C-101B-9397-08002B2CF9AE}" pid="14" name="DM_Modify_Date">
    <vt:lpwstr>28/11/2020 16:20:00</vt:lpwstr>
  </property>
  <property fmtid="{D5CDD505-2E9C-101B-9397-08002B2CF9AE}" pid="15" name="DM_Name">
    <vt:lpwstr>Summary of the ETF meeting on COVID-19 vaccine - 26 November 2020</vt:lpwstr>
  </property>
  <property fmtid="{D5CDD505-2E9C-101B-9397-08002B2CF9AE}" pid="16" name="DM_Path">
    <vt:lpwstr>/14. Working areas/14.05 H-Division/04. H-QS Activities/04. H-QS-PHV/COVID-19/01. COVID19 pandemic/06. ETF meetings/2020/11 November 2020/2020-11-26 ETF (vaccines)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1.3,CURRENT</vt:lpwstr>
  </property>
  <property fmtid="{D5CDD505-2E9C-101B-9397-08002B2CF9AE}" pid="22" name="MSIP_Label_0eea11ca-d417-4147-80ed-01a58412c458_ActionId">
    <vt:lpwstr>c8b71751-3c9d-4cd1-aae3-79c0d78daf82</vt:lpwstr>
  </property>
  <property fmtid="{D5CDD505-2E9C-101B-9397-08002B2CF9AE}" pid="23" name="MSIP_Label_0eea11ca-d417-4147-80ed-01a58412c458_Application">
    <vt:lpwstr>Microsoft Azure Information Protection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Extended_MSFT_Method">
    <vt:lpwstr>Automatic</vt:lpwstr>
  </property>
  <property fmtid="{D5CDD505-2E9C-101B-9397-08002B2CF9AE}" pid="26" name="MSIP_Label_0eea11ca-d417-4147-80ed-01a58412c458_Name">
    <vt:lpwstr>All EMA Staff and Contractors</vt:lpwstr>
  </property>
  <property fmtid="{D5CDD505-2E9C-101B-9397-08002B2CF9AE}" pid="27" name="MSIP_Label_0eea11ca-d417-4147-80ed-01a58412c458_Owner">
    <vt:lpwstr>Manuela.Mura@ema.europa.eu</vt:lpwstr>
  </property>
  <property fmtid="{D5CDD505-2E9C-101B-9397-08002B2CF9AE}" pid="28" name="MSIP_Label_0eea11ca-d417-4147-80ed-01a58412c458_Parent">
    <vt:lpwstr>afe1b31d-cec0-4074-b4bd-f07689e43d84</vt:lpwstr>
  </property>
  <property fmtid="{D5CDD505-2E9C-101B-9397-08002B2CF9AE}" pid="29" name="MSIP_Label_0eea11ca-d417-4147-80ed-01a58412c458_SetDate">
    <vt:lpwstr>2020-02-03T09:01:38.4280134Z</vt:lpwstr>
  </property>
  <property fmtid="{D5CDD505-2E9C-101B-9397-08002B2CF9AE}" pid="30" name="MSIP_Label_0eea11ca-d417-4147-80ed-01a58412c458_SiteId">
    <vt:lpwstr>bc9dc15c-61bc-4f03-b60b-e5b6d8922839</vt:lpwstr>
  </property>
  <property fmtid="{D5CDD505-2E9C-101B-9397-08002B2CF9AE}" pid="31" name="MSIP_Label_afe1b31d-cec0-4074-b4bd-f07689e43d84_ActionId">
    <vt:lpwstr>c8b71751-3c9d-4cd1-aae3-79c0d78daf82</vt:lpwstr>
  </property>
  <property fmtid="{D5CDD505-2E9C-101B-9397-08002B2CF9AE}" pid="32" name="MSIP_Label_afe1b31d-cec0-4074-b4bd-f07689e43d84_Application">
    <vt:lpwstr>Microsoft Azure Information Protection</vt:lpwstr>
  </property>
  <property fmtid="{D5CDD505-2E9C-101B-9397-08002B2CF9AE}" pid="33" name="MSIP_Label_afe1b31d-cec0-4074-b4bd-f07689e43d84_Enabled">
    <vt:lpwstr>True</vt:lpwstr>
  </property>
  <property fmtid="{D5CDD505-2E9C-101B-9397-08002B2CF9AE}" pid="34" name="MSIP_Label_afe1b31d-cec0-4074-b4bd-f07689e43d84_Extended_MSFT_Method">
    <vt:lpwstr>Automatic</vt:lpwstr>
  </property>
  <property fmtid="{D5CDD505-2E9C-101B-9397-08002B2CF9AE}" pid="35" name="MSIP_Label_afe1b31d-cec0-4074-b4bd-f07689e43d84_Name">
    <vt:lpwstr>Internal</vt:lpwstr>
  </property>
  <property fmtid="{D5CDD505-2E9C-101B-9397-08002B2CF9AE}" pid="36" name="MSIP_Label_afe1b31d-cec0-4074-b4bd-f07689e43d84_Owner">
    <vt:lpwstr>Manuela.Mura@ema.europa.eu</vt:lpwstr>
  </property>
  <property fmtid="{D5CDD505-2E9C-101B-9397-08002B2CF9AE}" pid="37" name="MSIP_Label_afe1b31d-cec0-4074-b4bd-f07689e43d84_SetDate">
    <vt:lpwstr>2020-02-03T09:01:38.4280134Z</vt:lpwstr>
  </property>
  <property fmtid="{D5CDD505-2E9C-101B-9397-08002B2CF9AE}" pid="38" name="MSIP_Label_afe1b31d-cec0-4074-b4bd-f07689e43d84_SiteId">
    <vt:lpwstr>bc9dc15c-61bc-4f03-b60b-e5b6d8922839</vt:lpwstr>
  </property>
</Properties>
</file>