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0 -->
  <w:body>
    <w:p w:rsidR="00A76DC5" w:rsidRPr="00C92C35" w14:paraId="36A67A23" w14:textId="77777777">
      <w:pPr>
        <w:pStyle w:val="RefAgency"/>
        <w:tabs>
          <w:tab w:val="left" w:pos="1277"/>
        </w:tabs>
      </w:pPr>
      <w:r w:rsidRPr="00C92C35">
        <w:fldChar w:fldCharType="begin"/>
      </w:r>
      <w:r w:rsidRPr="00C92C35">
        <w:instrText xml:space="preserve"> CREATEDATE  \@ "d MMMM yyyy"  \* MERGEFORMAT </w:instrText>
      </w:r>
      <w:r w:rsidRPr="00C92C35">
        <w:fldChar w:fldCharType="separate"/>
      </w:r>
      <w:r w:rsidR="00CF2438">
        <w:t>20 November 2020</w:t>
      </w:r>
      <w:r w:rsidRPr="00C92C35">
        <w:fldChar w:fldCharType="end"/>
      </w:r>
    </w:p>
    <w:p w:rsidR="00A76DC5" w:rsidRPr="00C92C35" w:rsidP="00A76DC5" w14:paraId="2BA86F93" w14:textId="77777777">
      <w:pPr>
        <w:pStyle w:val="BodytextAgency"/>
      </w:pPr>
      <w:r w:rsidRPr="00C92C35">
        <w:rPr>
          <w:szCs w:val="15"/>
        </w:rPr>
        <w:fldChar w:fldCharType="begin"/>
      </w:r>
      <w:r w:rsidRPr="00C92C35">
        <w:rPr>
          <w:szCs w:val="15"/>
        </w:rPr>
        <w:instrText xml:space="preserve"> IF </w:instrText>
      </w:r>
      <w:r w:rsidRPr="00C92C35">
        <w:fldChar w:fldCharType="begin"/>
      </w:r>
      <w:r>
        <w:instrText xml:space="preserve"> DOCPROPERTY "DM_emea_doc_ref_id"  \* MERGEFORMAT </w:instrText>
      </w:r>
      <w:r w:rsidRPr="00C92C35">
        <w:fldChar w:fldCharType="separate"/>
      </w:r>
      <w:r w:rsidRPr="00C92C35">
        <w:rPr>
          <w:b/>
          <w:bCs/>
        </w:rPr>
        <w:instrText>EMA/628963/2020</w:instrText>
      </w:r>
      <w:r w:rsidRPr="00C92C35">
        <w:rPr>
          <w:b/>
          <w:bCs/>
        </w:rPr>
        <w:fldChar w:fldCharType="end"/>
      </w:r>
      <w:r w:rsidRPr="00C92C35">
        <w:rPr>
          <w:szCs w:val="15"/>
        </w:rPr>
        <w:instrText xml:space="preserve"> &lt;&gt; "Error*"</w:instrText>
      </w:r>
      <w:r w:rsidRPr="00C92C35">
        <w:fldChar w:fldCharType="begin"/>
      </w:r>
      <w:r>
        <w:instrText xml:space="preserve"> DOCPROPERTY "DM_emea_doc_ref_id"  \* MERGEFORMAT </w:instrText>
      </w:r>
      <w:r w:rsidRPr="00C92C35">
        <w:fldChar w:fldCharType="separate"/>
      </w:r>
      <w:r w:rsidRPr="00C92C35">
        <w:instrText>EMA/628963/2020</w:instrText>
      </w:r>
      <w:r w:rsidRPr="00C92C35">
        <w:fldChar w:fldCharType="end"/>
      </w:r>
      <w:r w:rsidRPr="00C92C35">
        <w:rPr>
          <w:szCs w:val="15"/>
        </w:rPr>
        <w:instrText xml:space="preserve"> \* MERGEFORMAT </w:instrText>
      </w:r>
      <w:r w:rsidRPr="00C92C35">
        <w:rPr>
          <w:szCs w:val="15"/>
        </w:rPr>
        <w:fldChar w:fldCharType="separate"/>
      </w:r>
      <w:r>
        <w:t>EMA/628963/2020</w:t>
      </w:r>
      <w:r w:rsidRPr="00C92C35">
        <w:rPr>
          <w:szCs w:val="15"/>
        </w:rPr>
        <w:fldChar w:fldCharType="end"/>
      </w:r>
    </w:p>
    <w:p w:rsidR="00F91308" w:rsidRPr="00F91308" w:rsidP="00F91308" w14:paraId="77CD3297" w14:textId="77777777">
      <w:pPr>
        <w:pStyle w:val="RefAgency"/>
        <w:tabs>
          <w:tab w:val="left" w:pos="1287"/>
        </w:tabs>
        <w:rPr>
          <w:sz w:val="18"/>
        </w:rPr>
      </w:pPr>
      <w:r w:rsidRPr="00F91308">
        <w:rPr>
          <w:sz w:val="18"/>
        </w:rPr>
        <w:t xml:space="preserve">Biological Health Threats and Vaccines strategy (HTV) </w:t>
      </w:r>
    </w:p>
    <w:p w:rsidR="00A76DC5" w:rsidRPr="00C92C35" w14:paraId="161AC30B" w14:textId="77777777">
      <w:pPr>
        <w:pStyle w:val="RefAgency"/>
        <w:tabs>
          <w:tab w:val="left" w:pos="1287"/>
        </w:tabs>
        <w:rPr>
          <w:sz w:val="18"/>
        </w:rPr>
      </w:pPr>
    </w:p>
    <w:p w:rsidR="00835E21" w:rsidRPr="00C92C35" w:rsidP="00735C35" w14:paraId="1BB93DF6" w14:textId="77777777">
      <w:pPr>
        <w:pStyle w:val="DoctitleAgency"/>
      </w:pPr>
      <w:r w:rsidRPr="00C92C35">
        <w:t xml:space="preserve">Agenda for </w:t>
      </w:r>
      <w:r w:rsidRPr="00C92C35" w:rsidR="008E223D">
        <w:t>ETF</w:t>
      </w:r>
      <w:r w:rsidRPr="00C92C35">
        <w:t xml:space="preserve"> meeting on </w:t>
      </w:r>
      <w:r w:rsidR="00B30C20">
        <w:t xml:space="preserve">vaccines </w:t>
      </w:r>
      <w:r w:rsidRPr="00C92C35">
        <w:t>against COVID-19</w:t>
      </w:r>
    </w:p>
    <w:p w:rsidR="00795FF1" w:rsidRPr="00C92C35" w:rsidP="00795FF1" w14:paraId="2C8ACC5A" w14:textId="77777777">
      <w:pPr>
        <w:pStyle w:val="DocsubtitleAgency"/>
      </w:pPr>
      <w:r>
        <w:t>26</w:t>
      </w:r>
      <w:r w:rsidRPr="001B32C7" w:rsidR="00495794">
        <w:rPr>
          <w:vertAlign w:val="superscript"/>
        </w:rPr>
        <w:t>th</w:t>
      </w:r>
      <w:r w:rsidR="00495794">
        <w:t xml:space="preserve"> November</w:t>
      </w:r>
      <w:r w:rsidR="00CD504F">
        <w:t xml:space="preserve"> </w:t>
      </w:r>
      <w:r w:rsidRPr="00C92C35" w:rsidR="008803C9">
        <w:t>2020 @ 1</w:t>
      </w:r>
      <w:r w:rsidR="003E002D">
        <w:t>1</w:t>
      </w:r>
      <w:r w:rsidRPr="00C92C35" w:rsidR="008803C9">
        <w:t>:</w:t>
      </w:r>
      <w:r w:rsidR="00DF305F">
        <w:t>0</w:t>
      </w:r>
      <w:r w:rsidRPr="00C92C35" w:rsidR="008803C9">
        <w:t xml:space="preserve">0 CET time – ROOM </w:t>
      </w:r>
      <w:r w:rsidR="00495794">
        <w:t>07/A</w:t>
      </w:r>
      <w:r w:rsidRPr="00C92C35" w:rsidR="009459D9">
        <w:t xml:space="preserve"> </w:t>
      </w:r>
      <w:r w:rsidRPr="00C92C35" w:rsidR="008803C9">
        <w:t>at EMA</w:t>
      </w:r>
    </w:p>
    <w:p w:rsidR="00735C35" w:rsidRPr="00C92C35" w:rsidP="00735C35" w14:paraId="63CE6532" w14:textId="77777777">
      <w:pPr>
        <w:pStyle w:val="DocsubtitleAgency"/>
      </w:pPr>
      <w:r w:rsidRPr="00954817">
        <w:rPr>
          <w:b/>
          <w:bCs/>
        </w:rPr>
        <w:t>Chair:</w:t>
      </w:r>
      <w:r w:rsidRPr="00C92C35">
        <w:t xml:space="preserve"> Marco Cavaleri</w:t>
      </w:r>
    </w:p>
    <w:p w:rsidR="008E223D" w:rsidRPr="00C92C35" w:rsidP="008E223D" w14:paraId="000D1A77" w14:textId="77777777">
      <w:pPr>
        <w:pStyle w:val="BodytextAgency"/>
      </w:pPr>
      <w:r w:rsidRPr="00C92C35">
        <w:t xml:space="preserve">Connection details are </w:t>
      </w:r>
      <w:r w:rsidR="003A3B60">
        <w:t>attached to the O</w:t>
      </w:r>
      <w:r w:rsidRPr="00C92C35">
        <w:t xml:space="preserve">utlook </w:t>
      </w:r>
      <w:r w:rsidRPr="00C92C35">
        <w:t>invit</w:t>
      </w:r>
      <w:r w:rsidR="003A3B60">
        <w:t>ation</w:t>
      </w:r>
    </w:p>
    <w:tbl>
      <w:tblPr>
        <w:tblStyle w:val="TablegridAgency"/>
        <w:tblW w:w="0" w:type="auto"/>
        <w:tblInd w:w="5" w:type="dxa"/>
        <w:tblLook w:val="04A0"/>
      </w:tblPr>
      <w:tblGrid>
        <w:gridCol w:w="850"/>
        <w:gridCol w:w="3860"/>
        <w:gridCol w:w="2349"/>
        <w:gridCol w:w="2338"/>
      </w:tblGrid>
      <w:tr w14:paraId="426BCED6" w14:textId="77777777" w:rsidTr="00A62E55">
        <w:tblPrEx>
          <w:tblW w:w="0" w:type="auto"/>
          <w:tblInd w:w="5" w:type="dxa"/>
          <w:tblLook w:val="04A0"/>
        </w:tblPrEx>
        <w:tc>
          <w:tcPr>
            <w:tcW w:w="850" w:type="dxa"/>
          </w:tcPr>
          <w:p w:rsidR="00735C35" w:rsidRPr="00C92C35" w:rsidP="00735C35" w14:paraId="11BCFEE8" w14:textId="77777777">
            <w:pPr>
              <w:pStyle w:val="BodytextAgency"/>
            </w:pPr>
            <w:bookmarkStart w:id="0" w:name="_Hlk55830638"/>
            <w:r>
              <w:t>O</w:t>
            </w:r>
            <w:r w:rsidRPr="00C92C35" w:rsidR="00E05468">
              <w:t>rder</w:t>
            </w:r>
          </w:p>
        </w:tc>
        <w:tc>
          <w:tcPr>
            <w:tcW w:w="3860" w:type="dxa"/>
          </w:tcPr>
          <w:p w:rsidR="00735C35" w:rsidRPr="00C92C35" w:rsidP="00735C35" w14:paraId="1A8BBC30" w14:textId="77777777">
            <w:pPr>
              <w:pStyle w:val="BodytextAgency"/>
            </w:pPr>
            <w:r>
              <w:t>T</w:t>
            </w:r>
            <w:r w:rsidRPr="00C92C35" w:rsidR="00E05468">
              <w:t>opics</w:t>
            </w:r>
          </w:p>
        </w:tc>
        <w:tc>
          <w:tcPr>
            <w:tcW w:w="2349" w:type="dxa"/>
          </w:tcPr>
          <w:p w:rsidR="00735C35" w:rsidRPr="00C92C35" w:rsidP="00735C35" w14:paraId="7DBF3D84" w14:textId="77777777">
            <w:pPr>
              <w:pStyle w:val="BodytextAgency"/>
            </w:pPr>
            <w:r>
              <w:t>S</w:t>
            </w:r>
            <w:r w:rsidRPr="00C92C35" w:rsidR="00E05468">
              <w:t>peaker</w:t>
            </w:r>
          </w:p>
        </w:tc>
        <w:tc>
          <w:tcPr>
            <w:tcW w:w="2338" w:type="dxa"/>
          </w:tcPr>
          <w:p w:rsidR="00735C35" w:rsidRPr="00C92C35" w:rsidP="00735C35" w14:paraId="2CA7F4EC" w14:textId="77777777">
            <w:pPr>
              <w:pStyle w:val="BodytextAgency"/>
            </w:pPr>
            <w:r>
              <w:t>T</w:t>
            </w:r>
            <w:r w:rsidRPr="00C92C35" w:rsidR="00E05468">
              <w:t>ime</w:t>
            </w:r>
          </w:p>
        </w:tc>
      </w:tr>
      <w:tr w14:paraId="687BC815" w14:textId="77777777" w:rsidTr="00A62E55">
        <w:tblPrEx>
          <w:tblW w:w="0" w:type="auto"/>
          <w:tblInd w:w="5" w:type="dxa"/>
          <w:tblLook w:val="04A0"/>
        </w:tblPrEx>
        <w:tc>
          <w:tcPr>
            <w:tcW w:w="850" w:type="dxa"/>
          </w:tcPr>
          <w:p w:rsidR="006866B9" w:rsidRPr="00C92C35" w:rsidP="00233EDA" w14:paraId="3CEABE0F" w14:textId="77777777">
            <w:pPr>
              <w:pStyle w:val="BodytextAgency"/>
            </w:pPr>
            <w:r>
              <w:t>1</w:t>
            </w:r>
          </w:p>
        </w:tc>
        <w:tc>
          <w:tcPr>
            <w:tcW w:w="3860" w:type="dxa"/>
          </w:tcPr>
          <w:p w:rsidR="006866B9" w:rsidRPr="00517122" w:rsidP="006866B9" w14:paraId="148A28E2" w14:textId="77777777">
            <w:pPr>
              <w:rPr>
                <w:i/>
                <w:color w:val="000000"/>
                <w:sz w:val="18"/>
                <w:szCs w:val="18"/>
              </w:rPr>
            </w:pPr>
            <w:r w:rsidRPr="00517122">
              <w:rPr>
                <w:i/>
                <w:color w:val="000000"/>
                <w:sz w:val="18"/>
                <w:szCs w:val="18"/>
              </w:rPr>
              <w:t>Teleconference opening</w:t>
            </w:r>
          </w:p>
          <w:p w:rsidR="006866B9" w:rsidRPr="00517122" w:rsidP="006866B9" w14:paraId="134F1B01" w14:textId="77777777">
            <w:pPr>
              <w:rPr>
                <w:i/>
                <w:color w:val="000000"/>
                <w:sz w:val="18"/>
                <w:szCs w:val="18"/>
              </w:rPr>
            </w:pPr>
          </w:p>
          <w:p w:rsidR="006866B9" w:rsidRPr="00517122" w:rsidP="006866B9" w14:paraId="5CCBB1FB" w14:textId="77777777">
            <w:pPr>
              <w:tabs>
                <w:tab w:val="num" w:pos="1134"/>
              </w:tabs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517122">
              <w:rPr>
                <w:rFonts w:eastAsia="SimSun"/>
                <w:color w:val="000000"/>
                <w:sz w:val="18"/>
                <w:szCs w:val="18"/>
                <w:lang w:eastAsia="zh-CN"/>
              </w:rPr>
              <w:t>Welcome and declarations of interest of experts</w:t>
            </w:r>
          </w:p>
          <w:p w:rsidR="001C37EB" w:rsidRPr="00517122" w:rsidP="006866B9" w14:paraId="0D77C201" w14:textId="77777777">
            <w:pPr>
              <w:tabs>
                <w:tab w:val="num" w:pos="1134"/>
              </w:tabs>
              <w:rPr>
                <w:rFonts w:eastAsia="SimSun"/>
                <w:sz w:val="18"/>
                <w:szCs w:val="18"/>
                <w:lang w:eastAsia="zh-CN"/>
              </w:rPr>
            </w:pPr>
          </w:p>
          <w:p w:rsidR="00F90A27" w:rsidRPr="00517122" w:rsidP="006866B9" w14:paraId="465A4F58" w14:textId="77777777">
            <w:pPr>
              <w:tabs>
                <w:tab w:val="num" w:pos="1134"/>
              </w:tabs>
              <w:rPr>
                <w:rFonts w:eastAsia="SimSun"/>
                <w:sz w:val="18"/>
                <w:szCs w:val="18"/>
                <w:lang w:eastAsia="zh-CN"/>
              </w:rPr>
            </w:pPr>
            <w:r w:rsidRPr="00517122">
              <w:rPr>
                <w:rFonts w:eastAsia="SimSun"/>
                <w:sz w:val="18"/>
                <w:szCs w:val="18"/>
                <w:lang w:eastAsia="zh-CN"/>
              </w:rPr>
              <w:t xml:space="preserve">Pre-meeting list of participants with identified restrictions in relation to declarations of interests applicable to the items of the agenda for the TC to be held </w:t>
            </w:r>
            <w:r w:rsidRPr="00517122" w:rsidR="00E05468">
              <w:rPr>
                <w:rFonts w:eastAsia="SimSun"/>
                <w:sz w:val="18"/>
                <w:szCs w:val="18"/>
                <w:lang w:eastAsia="zh-CN"/>
              </w:rPr>
              <w:t xml:space="preserve">on </w:t>
            </w:r>
            <w:r>
              <w:rPr>
                <w:rFonts w:eastAsia="SimSun"/>
                <w:sz w:val="18"/>
                <w:szCs w:val="18"/>
                <w:lang w:eastAsia="zh-CN"/>
              </w:rPr>
              <w:t>2</w:t>
            </w:r>
            <w:r w:rsidR="0068736D">
              <w:rPr>
                <w:rFonts w:eastAsia="SimSun"/>
                <w:sz w:val="18"/>
                <w:szCs w:val="18"/>
                <w:lang w:eastAsia="zh-CN"/>
              </w:rPr>
              <w:t>6</w:t>
            </w:r>
            <w:r w:rsidRPr="001B32C7" w:rsidR="001B32C7">
              <w:rPr>
                <w:rFonts w:eastAsia="SimSun"/>
                <w:sz w:val="18"/>
                <w:szCs w:val="18"/>
                <w:vertAlign w:val="superscript"/>
                <w:lang w:eastAsia="zh-CN"/>
              </w:rPr>
              <w:t>th</w:t>
            </w:r>
            <w:r w:rsidR="001B32C7">
              <w:rPr>
                <w:rFonts w:eastAsia="SimSun"/>
                <w:sz w:val="18"/>
                <w:szCs w:val="18"/>
                <w:lang w:eastAsia="zh-CN"/>
              </w:rPr>
              <w:t xml:space="preserve"> November</w:t>
            </w:r>
            <w:r w:rsidRPr="00517122">
              <w:rPr>
                <w:rFonts w:eastAsia="SimSun"/>
                <w:sz w:val="18"/>
                <w:szCs w:val="18"/>
                <w:lang w:eastAsia="zh-CN"/>
              </w:rPr>
              <w:t xml:space="preserve"> 2020 is attached to this agenda.</w:t>
            </w:r>
          </w:p>
          <w:p w:rsidR="001C37EB" w:rsidRPr="00517122" w:rsidP="006866B9" w14:paraId="11A2B88A" w14:textId="77777777">
            <w:pPr>
              <w:tabs>
                <w:tab w:val="num" w:pos="1134"/>
              </w:tabs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6866B9" w:rsidRPr="00C92C35" w:rsidP="00233EDA" w14:paraId="2A8E4A3F" w14:textId="77777777">
            <w:pPr>
              <w:pStyle w:val="BodytextAgency"/>
            </w:pPr>
          </w:p>
        </w:tc>
        <w:tc>
          <w:tcPr>
            <w:tcW w:w="2338" w:type="dxa"/>
          </w:tcPr>
          <w:p w:rsidR="006866B9" w:rsidRPr="008B4E99" w:rsidP="00233EDA" w14:paraId="2FC30AA2" w14:textId="77777777">
            <w:pPr>
              <w:pStyle w:val="BodytextAgency"/>
            </w:pPr>
          </w:p>
        </w:tc>
      </w:tr>
      <w:tr w14:paraId="1F23136F" w14:textId="77777777" w:rsidTr="00A62E55">
        <w:tblPrEx>
          <w:tblW w:w="0" w:type="auto"/>
          <w:tblInd w:w="5" w:type="dxa"/>
          <w:tblLook w:val="04A0"/>
        </w:tblPrEx>
        <w:tc>
          <w:tcPr>
            <w:tcW w:w="850" w:type="dxa"/>
          </w:tcPr>
          <w:p w:rsidR="00821563" w:rsidP="00495794" w14:paraId="72F00613" w14:textId="3064BD6D">
            <w:pPr>
              <w:pStyle w:val="BodytextAgency"/>
            </w:pPr>
            <w:r>
              <w:t>2</w:t>
            </w:r>
          </w:p>
        </w:tc>
        <w:tc>
          <w:tcPr>
            <w:tcW w:w="3860" w:type="dxa"/>
          </w:tcPr>
          <w:p w:rsidR="00821563" w:rsidP="00821563" w14:paraId="3E3BBB98" w14:textId="161431C9">
            <w:pPr>
              <w:autoSpaceDE w:val="0"/>
              <w:autoSpaceDN w:val="0"/>
              <w:spacing w:before="40" w:after="40"/>
            </w:pPr>
            <w:r w:rsidRPr="00135045">
              <w:rPr>
                <w:rFonts w:ascii="Segoe UI" w:hAnsi="Segoe UI" w:cs="Segoe UI"/>
                <w:color w:val="000000"/>
                <w:sz w:val="20"/>
              </w:rPr>
              <w:t xml:space="preserve">Ad26.COV2.S </w:t>
            </w:r>
            <w:r>
              <w:rPr>
                <w:rFonts w:ascii="Segoe UI" w:hAnsi="Segoe UI" w:cs="Segoe UI"/>
                <w:color w:val="000000"/>
                <w:sz w:val="20"/>
              </w:rPr>
              <w:t>vaccine (</w:t>
            </w:r>
            <w:r w:rsidRPr="00135045">
              <w:rPr>
                <w:rFonts w:ascii="Segoe UI" w:hAnsi="Segoe UI" w:cs="Segoe UI"/>
                <w:color w:val="000000"/>
                <w:sz w:val="20"/>
              </w:rPr>
              <w:t>Janssen-Cilag International NV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- </w:t>
            </w:r>
            <w:r w:rsidRPr="00135045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start of </w:t>
            </w:r>
            <w:r>
              <w:rPr>
                <w:rFonts w:ascii="Segoe UI" w:hAnsi="Segoe UI" w:cs="Segoe UI"/>
                <w:color w:val="000000"/>
                <w:sz w:val="20"/>
              </w:rPr>
              <w:t>the Rolling Review</w:t>
            </w:r>
          </w:p>
          <w:p w:rsidR="00821563" w:rsidRPr="001728AC" w:rsidP="00495794" w14:paraId="7D25EA7B" w14:textId="77777777">
            <w:pPr>
              <w:pStyle w:val="BodytextAgency"/>
              <w:rPr>
                <w:rFonts w:eastAsia="SimSun" w:cs="Times New Roman"/>
                <w:color w:val="000000"/>
                <w:lang w:eastAsia="zh-CN"/>
              </w:rPr>
            </w:pPr>
          </w:p>
        </w:tc>
        <w:tc>
          <w:tcPr>
            <w:tcW w:w="2349" w:type="dxa"/>
          </w:tcPr>
          <w:p w:rsidR="00135045" w:rsidRPr="00135045" w:rsidP="00135045" w14:paraId="380FC3CF" w14:textId="2268D146">
            <w:pPr>
              <w:pStyle w:val="BodytextAgency"/>
              <w:rPr>
                <w:lang w:val="fr-FR"/>
              </w:rPr>
            </w:pPr>
            <w:r>
              <w:rPr>
                <w:lang w:val="fr-FR"/>
              </w:rPr>
              <w:t xml:space="preserve">CHMP </w:t>
            </w:r>
            <w:r w:rsidRPr="00135045">
              <w:rPr>
                <w:lang w:val="fr-FR"/>
              </w:rPr>
              <w:t>Rapporteur: Christophe Focke (BE)</w:t>
            </w:r>
          </w:p>
          <w:p w:rsidR="00821563" w:rsidRPr="00135045" w:rsidP="00135045" w14:paraId="2771D72F" w14:textId="1A7DAE53">
            <w:pPr>
              <w:pStyle w:val="BodytextAgency"/>
              <w:rPr>
                <w:lang w:val="fr-FR"/>
              </w:rPr>
            </w:pPr>
            <w:r>
              <w:rPr>
                <w:lang w:val="fr-FR"/>
              </w:rPr>
              <w:t xml:space="preserve">CHMP </w:t>
            </w:r>
            <w:r w:rsidRPr="00135045">
              <w:rPr>
                <w:lang w:val="fr-FR"/>
              </w:rPr>
              <w:t>CoRapporteur: Sol Ruiz (ES)</w:t>
            </w:r>
          </w:p>
          <w:p w:rsidR="00346264" w:rsidRPr="00821563" w:rsidP="00495794" w14:paraId="32A159F6" w14:textId="1FA9703F">
            <w:pPr>
              <w:pStyle w:val="BodytextAgency"/>
            </w:pPr>
            <w:r>
              <w:t>EMA: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Maribel </w:t>
            </w:r>
            <w:r>
              <w:rPr>
                <w:lang w:val="en-US"/>
              </w:rPr>
              <w:t>Gonzalez Tome Maribel</w:t>
            </w:r>
          </w:p>
        </w:tc>
        <w:tc>
          <w:tcPr>
            <w:tcW w:w="2338" w:type="dxa"/>
          </w:tcPr>
          <w:p w:rsidR="00821563" w:rsidP="00495794" w14:paraId="7304EDC8" w14:textId="3E52075B">
            <w:pPr>
              <w:pStyle w:val="BodytextAgency"/>
            </w:pPr>
            <w:r>
              <w:t>10’</w:t>
            </w:r>
          </w:p>
        </w:tc>
      </w:tr>
      <w:tr w14:paraId="2F76A0BF" w14:textId="77777777" w:rsidTr="00A62E55">
        <w:tblPrEx>
          <w:tblW w:w="0" w:type="auto"/>
          <w:tblInd w:w="5" w:type="dxa"/>
          <w:tblLook w:val="04A0"/>
        </w:tblPrEx>
        <w:tc>
          <w:tcPr>
            <w:tcW w:w="850" w:type="dxa"/>
          </w:tcPr>
          <w:p w:rsidR="00495794" w:rsidP="00495794" w14:paraId="6FB7C8A9" w14:textId="7DD2FCA6">
            <w:pPr>
              <w:pStyle w:val="BodytextAgency"/>
            </w:pPr>
            <w:r>
              <w:t>3</w:t>
            </w:r>
          </w:p>
        </w:tc>
        <w:tc>
          <w:tcPr>
            <w:tcW w:w="3860" w:type="dxa"/>
          </w:tcPr>
          <w:p w:rsidR="00495794" w:rsidP="00495794" w14:paraId="7899DEF9" w14:textId="10F4DE07">
            <w:pPr>
              <w:pStyle w:val="BodytextAgency"/>
              <w:rPr>
                <w:rFonts w:eastAsia="SimSun" w:cs="Times New Roman"/>
                <w:color w:val="000000"/>
                <w:lang w:eastAsia="zh-CN"/>
              </w:rPr>
            </w:pPr>
            <w:r w:rsidRPr="001728AC">
              <w:rPr>
                <w:rFonts w:eastAsia="SimSun" w:cs="Times New Roman"/>
                <w:color w:val="000000"/>
                <w:lang w:eastAsia="zh-CN"/>
              </w:rPr>
              <w:t xml:space="preserve">COVID-19 vaccine </w:t>
            </w:r>
            <w:r w:rsidRPr="001728AC">
              <w:rPr>
                <w:rFonts w:eastAsia="SimSun" w:cs="Times New Roman"/>
                <w:color w:val="000000"/>
                <w:lang w:eastAsia="zh-CN"/>
              </w:rPr>
              <w:t>(recombinant, adjuvanted)</w:t>
            </w:r>
            <w:r>
              <w:rPr>
                <w:rFonts w:eastAsia="SimSun" w:cs="Times New Roman"/>
                <w:color w:val="000000"/>
                <w:lang w:eastAsia="zh-CN"/>
              </w:rPr>
              <w:t xml:space="preserve"> (Sanofi) - </w:t>
            </w:r>
            <w:r w:rsidRPr="001728AC">
              <w:rPr>
                <w:rFonts w:eastAsia="SimSun" w:cs="Times New Roman"/>
                <w:color w:val="000000"/>
                <w:lang w:eastAsia="zh-CN"/>
              </w:rPr>
              <w:t>EMA/SA/0000047681</w:t>
            </w:r>
            <w:r>
              <w:rPr>
                <w:rFonts w:eastAsia="SimSun" w:cs="Times New Roman"/>
                <w:color w:val="000000"/>
                <w:lang w:eastAsia="zh-CN"/>
              </w:rPr>
              <w:t xml:space="preserve"> - </w:t>
            </w:r>
            <w:r w:rsidRPr="001728AC">
              <w:rPr>
                <w:rFonts w:eastAsia="SimSun" w:cs="Times New Roman"/>
                <w:color w:val="000000"/>
                <w:lang w:eastAsia="zh-CN"/>
              </w:rPr>
              <w:t xml:space="preserve">recombinant protein derived from the SARS-CoV-2 prefusion Spike delta TM protein for the </w:t>
            </w:r>
            <w:r w:rsidRPr="001728AC">
              <w:rPr>
                <w:rFonts w:eastAsia="SimSun" w:cs="Times New Roman"/>
                <w:color w:val="000000"/>
                <w:lang w:eastAsia="zh-CN"/>
              </w:rPr>
              <w:t>prevention of COVID-19 disease</w:t>
            </w:r>
            <w:r>
              <w:rPr>
                <w:rFonts w:eastAsia="SimSun" w:cs="Times New Roman"/>
                <w:color w:val="000000"/>
                <w:lang w:eastAsia="zh-CN"/>
              </w:rPr>
              <w:t xml:space="preserve"> </w:t>
            </w:r>
            <w:r w:rsidR="0056067B">
              <w:rPr>
                <w:rFonts w:eastAsia="SimSun" w:cs="Times New Roman"/>
                <w:color w:val="000000"/>
                <w:lang w:eastAsia="zh-CN"/>
              </w:rPr>
              <w:t>– Rapid Scientific Advice</w:t>
            </w:r>
            <w:bookmarkStart w:id="1" w:name="_GoBack"/>
            <w:bookmarkEnd w:id="1"/>
          </w:p>
        </w:tc>
        <w:tc>
          <w:tcPr>
            <w:tcW w:w="2349" w:type="dxa"/>
          </w:tcPr>
          <w:p w:rsidR="00495794" w:rsidP="00495794" w14:paraId="420BDFBB" w14:textId="77777777">
            <w:pPr>
              <w:pStyle w:val="BodytextAgency"/>
              <w:rPr>
                <w:lang w:val="pt-PT"/>
              </w:rPr>
            </w:pPr>
            <w:r w:rsidRPr="00C41EC9">
              <w:rPr>
                <w:lang w:val="pt-PT"/>
              </w:rPr>
              <w:t>SAWP: Dr Walter Janssens (BE); Dr Mário Miguel Coelho da Silva Rosa (PT)</w:t>
            </w:r>
            <w:r>
              <w:rPr>
                <w:lang w:val="pt-PT"/>
              </w:rPr>
              <w:t xml:space="preserve"> </w:t>
            </w:r>
          </w:p>
          <w:p w:rsidR="00495794" w:rsidRPr="00C41EC9" w:rsidP="00495794" w14:paraId="5C92EAB7" w14:textId="77777777">
            <w:pPr>
              <w:pStyle w:val="BodytextAgency"/>
              <w:rPr>
                <w:lang w:val="pt-PT"/>
              </w:rPr>
            </w:pPr>
            <w:r w:rsidRPr="00C41EC9">
              <w:rPr>
                <w:lang w:val="pt-PT"/>
              </w:rPr>
              <w:t>EM</w:t>
            </w:r>
            <w:r w:rsidRPr="00C41EC9">
              <w:rPr>
                <w:lang w:val="pt-PT"/>
              </w:rPr>
              <w:t>A: Efthymios Manolis</w:t>
            </w:r>
          </w:p>
        </w:tc>
        <w:tc>
          <w:tcPr>
            <w:tcW w:w="2338" w:type="dxa"/>
          </w:tcPr>
          <w:p w:rsidR="00495794" w:rsidP="00495794" w14:paraId="0B4349E6" w14:textId="77777777">
            <w:pPr>
              <w:pStyle w:val="BodytextAgency"/>
            </w:pPr>
            <w:r>
              <w:t>40’</w:t>
            </w:r>
          </w:p>
        </w:tc>
      </w:tr>
      <w:tr w14:paraId="755D5D9A" w14:textId="77777777" w:rsidTr="00A62E55">
        <w:tblPrEx>
          <w:tblW w:w="0" w:type="auto"/>
          <w:tblInd w:w="5" w:type="dxa"/>
          <w:tblLook w:val="04A0"/>
        </w:tblPrEx>
        <w:tc>
          <w:tcPr>
            <w:tcW w:w="850" w:type="dxa"/>
          </w:tcPr>
          <w:p w:rsidR="00387541" w:rsidRPr="00646CFD" w:rsidP="0078384D" w14:paraId="75018EF5" w14:textId="283E0E25">
            <w:pPr>
              <w:pStyle w:val="BodytextAgency"/>
              <w:rPr>
                <w:lang w:val="pt-PT"/>
              </w:rPr>
            </w:pPr>
            <w:r>
              <w:rPr>
                <w:lang w:val="pt-PT"/>
              </w:rPr>
              <w:t>4</w:t>
            </w:r>
          </w:p>
        </w:tc>
        <w:tc>
          <w:tcPr>
            <w:tcW w:w="3860" w:type="dxa"/>
          </w:tcPr>
          <w:p w:rsidR="00387541" w:rsidRPr="00F10CF8" w:rsidP="0078384D" w14:paraId="57D64975" w14:textId="77777777">
            <w:pPr>
              <w:pStyle w:val="BodytextAgency"/>
              <w:rPr>
                <w:rFonts w:eastAsia="SimSun" w:cs="Times New Roman"/>
                <w:color w:val="000000"/>
                <w:lang w:val="pt-PT" w:eastAsia="zh-CN"/>
              </w:rPr>
            </w:pPr>
            <w:r w:rsidRPr="00F10CF8">
              <w:rPr>
                <w:rFonts w:eastAsia="SimSun" w:cs="Times New Roman"/>
                <w:color w:val="000000"/>
                <w:lang w:val="pt-PT" w:eastAsia="zh-CN"/>
              </w:rPr>
              <w:t>BNT</w:t>
            </w:r>
            <w:r>
              <w:rPr>
                <w:rFonts w:eastAsia="SimSun" w:cs="Times New Roman"/>
                <w:color w:val="000000"/>
                <w:lang w:val="pt-PT" w:eastAsia="zh-CN"/>
              </w:rPr>
              <w:t>162 (</w:t>
            </w:r>
            <w:r w:rsidRPr="00F10CF8">
              <w:rPr>
                <w:rFonts w:eastAsia="SimSun" w:cs="Times New Roman"/>
                <w:color w:val="000000"/>
                <w:lang w:val="pt-PT" w:eastAsia="zh-CN"/>
              </w:rPr>
              <w:t>mRNA1273 vaccine</w:t>
            </w:r>
            <w:r>
              <w:rPr>
                <w:rFonts w:eastAsia="SimSun" w:cs="Times New Roman"/>
                <w:color w:val="000000"/>
                <w:lang w:val="pt-PT" w:eastAsia="zh-CN"/>
              </w:rPr>
              <w:t>)</w:t>
            </w:r>
            <w:r w:rsidRPr="00F10CF8">
              <w:rPr>
                <w:rFonts w:eastAsia="SimSun" w:cs="Times New Roman"/>
                <w:color w:val="000000"/>
                <w:lang w:val="pt-PT" w:eastAsia="zh-CN"/>
              </w:rPr>
              <w:t xml:space="preserve"> Biontech/Pfizer -Rolling Review (CMC wave 1)</w:t>
            </w:r>
          </w:p>
        </w:tc>
        <w:tc>
          <w:tcPr>
            <w:tcW w:w="2349" w:type="dxa"/>
          </w:tcPr>
          <w:p w:rsidR="00387541" w:rsidRPr="008F46E6" w:rsidP="0078384D" w14:paraId="52CD0277" w14:textId="77777777">
            <w:pPr>
              <w:pStyle w:val="BodytextAgency"/>
            </w:pPr>
            <w:r w:rsidRPr="008F46E6">
              <w:t>CHMP Rapp: Filip Josephson</w:t>
            </w:r>
          </w:p>
          <w:p w:rsidR="00387541" w:rsidRPr="008F46E6" w:rsidP="0078384D" w14:paraId="1DE47DD4" w14:textId="77777777">
            <w:pPr>
              <w:pStyle w:val="BodytextAgency"/>
            </w:pPr>
            <w:r w:rsidRPr="008F46E6">
              <w:t>CHMP Co-Rapp: Jean-Michel Race, acting on behalf of Alexandre Moreau</w:t>
            </w:r>
          </w:p>
          <w:p w:rsidR="00387541" w:rsidP="0078384D" w14:paraId="61BBE563" w14:textId="77777777">
            <w:pPr>
              <w:pStyle w:val="BodytextAgency"/>
            </w:pPr>
            <w:r w:rsidRPr="008F46E6">
              <w:t>CHMP Peer Reviewer: Ingrid Wang</w:t>
            </w:r>
          </w:p>
          <w:p w:rsidR="00387541" w:rsidRPr="00C41EC9" w:rsidP="0078384D" w14:paraId="005BE9B9" w14:textId="77777777">
            <w:pPr>
              <w:pStyle w:val="BodytextAgency"/>
              <w:rPr>
                <w:lang w:val="pt-PT"/>
              </w:rPr>
            </w:pPr>
            <w:r>
              <w:rPr>
                <w:lang w:val="pl-PL"/>
              </w:rPr>
              <w:t>EMA: Vanessa Seguin</w:t>
            </w:r>
          </w:p>
        </w:tc>
        <w:tc>
          <w:tcPr>
            <w:tcW w:w="2338" w:type="dxa"/>
          </w:tcPr>
          <w:p w:rsidR="00387541" w:rsidP="0078384D" w14:paraId="6122211E" w14:textId="77777777">
            <w:pPr>
              <w:pStyle w:val="BodytextAgency"/>
            </w:pPr>
            <w:r>
              <w:t>40’</w:t>
            </w:r>
          </w:p>
        </w:tc>
      </w:tr>
      <w:tr w14:paraId="6DA0CD53" w14:textId="77777777" w:rsidTr="00A62E55">
        <w:tblPrEx>
          <w:tblW w:w="0" w:type="auto"/>
          <w:tblInd w:w="5" w:type="dxa"/>
          <w:tblLook w:val="04A0"/>
        </w:tblPrEx>
        <w:tc>
          <w:tcPr>
            <w:tcW w:w="850" w:type="dxa"/>
          </w:tcPr>
          <w:p w:rsidR="00646CFD" w:rsidP="00646CFD" w14:paraId="19DCE624" w14:textId="1F659378">
            <w:pPr>
              <w:pStyle w:val="BodytextAgency"/>
            </w:pPr>
            <w:r>
              <w:t>5</w:t>
            </w:r>
          </w:p>
        </w:tc>
        <w:tc>
          <w:tcPr>
            <w:tcW w:w="3860" w:type="dxa"/>
          </w:tcPr>
          <w:p w:rsidR="00646CFD" w:rsidRPr="001728AC" w:rsidP="00646CFD" w14:paraId="4A75BD08" w14:textId="77777777">
            <w:pPr>
              <w:pStyle w:val="BodytextAgency"/>
              <w:rPr>
                <w:rFonts w:eastAsia="SimSun" w:cs="Times New Roman"/>
                <w:color w:val="000000"/>
                <w:lang w:eastAsia="zh-CN"/>
              </w:rPr>
            </w:pPr>
            <w:r w:rsidRPr="00E64966">
              <w:t>BNT162 (mRNA</w:t>
            </w:r>
            <w:r w:rsidR="00F10CF8">
              <w:t>1273</w:t>
            </w:r>
            <w:r w:rsidRPr="00E64966">
              <w:t xml:space="preserve"> vaccine) – (002861-PIP02-20) - Biontech – </w:t>
            </w:r>
            <w:r>
              <w:t xml:space="preserve">update on the </w:t>
            </w:r>
            <w:r w:rsidRPr="00E64966">
              <w:t>PIP discussion</w:t>
            </w:r>
          </w:p>
        </w:tc>
        <w:tc>
          <w:tcPr>
            <w:tcW w:w="2349" w:type="dxa"/>
          </w:tcPr>
          <w:p w:rsidR="00646CFD" w:rsidRPr="00646CFD" w:rsidP="00646CFD" w14:paraId="6CA13F90" w14:textId="77777777">
            <w:pPr>
              <w:pStyle w:val="BodytextAgency"/>
            </w:pPr>
            <w:r w:rsidRPr="00646CFD">
              <w:t>E</w:t>
            </w:r>
            <w:r w:rsidRPr="00646CFD">
              <w:t>MA: Laura Fregonese</w:t>
            </w:r>
          </w:p>
        </w:tc>
        <w:tc>
          <w:tcPr>
            <w:tcW w:w="2338" w:type="dxa"/>
          </w:tcPr>
          <w:p w:rsidR="00646CFD" w:rsidRPr="00646CFD" w:rsidP="00646CFD" w14:paraId="01106935" w14:textId="77777777">
            <w:pPr>
              <w:pStyle w:val="BodytextAgency"/>
              <w:rPr>
                <w:lang w:val="pt-PT"/>
              </w:rPr>
            </w:pPr>
            <w:r>
              <w:rPr>
                <w:lang w:val="pt-PT"/>
              </w:rPr>
              <w:t>20’</w:t>
            </w:r>
          </w:p>
        </w:tc>
      </w:tr>
      <w:tr w14:paraId="1690959B" w14:textId="77777777" w:rsidTr="00A62E55">
        <w:tblPrEx>
          <w:tblW w:w="0" w:type="auto"/>
          <w:tblInd w:w="5" w:type="dxa"/>
          <w:tblLook w:val="04A0"/>
        </w:tblPrEx>
        <w:tc>
          <w:tcPr>
            <w:tcW w:w="850" w:type="dxa"/>
          </w:tcPr>
          <w:p w:rsidR="00E90C9E" w:rsidRPr="00C92C35" w:rsidP="00E90C9E" w14:paraId="4CF1D666" w14:textId="0040965A">
            <w:pPr>
              <w:pStyle w:val="BodytextAgency"/>
            </w:pPr>
            <w:r>
              <w:t>6</w:t>
            </w:r>
          </w:p>
        </w:tc>
        <w:tc>
          <w:tcPr>
            <w:tcW w:w="3860" w:type="dxa"/>
          </w:tcPr>
          <w:p w:rsidR="00E90C9E" w:rsidRPr="00517122" w:rsidP="00E90C9E" w14:paraId="74BAE5FC" w14:textId="77777777">
            <w:pPr>
              <w:tabs>
                <w:tab w:val="num" w:pos="1134"/>
              </w:tabs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517122">
              <w:rPr>
                <w:rFonts w:eastAsia="SimSun"/>
                <w:color w:val="000000"/>
                <w:sz w:val="18"/>
                <w:szCs w:val="18"/>
                <w:lang w:eastAsia="zh-CN"/>
              </w:rPr>
              <w:t>A.O.B.</w:t>
            </w:r>
          </w:p>
        </w:tc>
        <w:tc>
          <w:tcPr>
            <w:tcW w:w="2349" w:type="dxa"/>
          </w:tcPr>
          <w:p w:rsidR="00E90C9E" w:rsidRPr="00C92C35" w:rsidP="00E90C9E" w14:paraId="4115FA12" w14:textId="77777777">
            <w:pPr>
              <w:pStyle w:val="BodytextAgency"/>
            </w:pPr>
          </w:p>
        </w:tc>
        <w:tc>
          <w:tcPr>
            <w:tcW w:w="2338" w:type="dxa"/>
          </w:tcPr>
          <w:p w:rsidR="00E90C9E" w:rsidP="00E90C9E" w14:paraId="03275265" w14:textId="77777777">
            <w:pPr>
              <w:pStyle w:val="BodytextAgency"/>
            </w:pPr>
          </w:p>
        </w:tc>
      </w:tr>
      <w:tr w14:paraId="6170C0AC" w14:textId="77777777" w:rsidTr="00A62E55">
        <w:tblPrEx>
          <w:tblW w:w="0" w:type="auto"/>
          <w:tblInd w:w="5" w:type="dxa"/>
          <w:tblLook w:val="04A0"/>
        </w:tblPrEx>
        <w:tc>
          <w:tcPr>
            <w:tcW w:w="850" w:type="dxa"/>
          </w:tcPr>
          <w:p w:rsidR="00E90C9E" w:rsidRPr="00C92C35" w:rsidP="00E90C9E" w14:paraId="43C81588" w14:textId="77777777">
            <w:pPr>
              <w:pStyle w:val="BodytextAgency"/>
            </w:pPr>
          </w:p>
        </w:tc>
        <w:tc>
          <w:tcPr>
            <w:tcW w:w="3860" w:type="dxa"/>
          </w:tcPr>
          <w:p w:rsidR="00E90C9E" w:rsidRPr="00517122" w:rsidP="00E90C9E" w14:paraId="6DEED20D" w14:textId="77777777">
            <w:pPr>
              <w:rPr>
                <w:i/>
                <w:color w:val="000000"/>
                <w:sz w:val="18"/>
                <w:szCs w:val="18"/>
              </w:rPr>
            </w:pPr>
            <w:r w:rsidRPr="00517122">
              <w:rPr>
                <w:i/>
                <w:color w:val="000000"/>
                <w:sz w:val="18"/>
                <w:szCs w:val="18"/>
              </w:rPr>
              <w:t>Teleconference closing</w:t>
            </w:r>
          </w:p>
          <w:p w:rsidR="00E90C9E" w:rsidRPr="00517122" w:rsidP="00E90C9E" w14:paraId="7DFD4025" w14:textId="77777777">
            <w:pPr>
              <w:tabs>
                <w:tab w:val="num" w:pos="1134"/>
              </w:tabs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49" w:type="dxa"/>
          </w:tcPr>
          <w:p w:rsidR="00E90C9E" w:rsidRPr="00C92C35" w:rsidP="00E90C9E" w14:paraId="7792BC5B" w14:textId="77777777">
            <w:pPr>
              <w:pStyle w:val="BodytextAgency"/>
            </w:pPr>
          </w:p>
        </w:tc>
        <w:tc>
          <w:tcPr>
            <w:tcW w:w="2338" w:type="dxa"/>
          </w:tcPr>
          <w:p w:rsidR="00E90C9E" w:rsidRPr="00C92C35" w:rsidP="00E90C9E" w14:paraId="5350E512" w14:textId="77777777">
            <w:pPr>
              <w:pStyle w:val="BodytextAgency"/>
            </w:pPr>
          </w:p>
        </w:tc>
      </w:tr>
    </w:tbl>
    <w:p w:rsidR="00735C35" w:rsidRPr="00C92C35" w:rsidP="00735C35" w14:paraId="3D9C7E38" w14:textId="77777777">
      <w:pPr>
        <w:pStyle w:val="BodytextAgency"/>
      </w:pPr>
      <w:bookmarkEnd w:id="0"/>
      <w:r>
        <w:t xml:space="preserve">SAP HR code for this meeting: </w:t>
      </w:r>
      <w:r>
        <w:t>19.06</w:t>
      </w:r>
    </w:p>
    <w:p w:rsidR="007B3B91" w14:paraId="37A30E39" w14:textId="77777777">
      <w:pPr>
        <w:rPr>
          <w:rFonts w:ascii="Verdana" w:eastAsia="Verdana" w:hAnsi="Verdana" w:cs="Verdana"/>
          <w:b/>
          <w:bCs/>
          <w:sz w:val="18"/>
          <w:szCs w:val="18"/>
          <w:lang w:eastAsia="en-GB"/>
        </w:rPr>
      </w:pPr>
      <w:r>
        <w:rPr>
          <w:b/>
          <w:bCs/>
        </w:rPr>
        <w:br w:type="page"/>
      </w:r>
    </w:p>
    <w:p w:rsidR="008C1A0A" w:rsidP="006A3468" w14:paraId="05657F6C" w14:textId="77777777">
      <w:pPr>
        <w:pStyle w:val="BodytextAgency"/>
        <w:rPr>
          <w:rFonts w:eastAsia="Times New Roman"/>
        </w:rPr>
      </w:pPr>
      <w:r w:rsidRPr="00D45BFD">
        <w:rPr>
          <w:b/>
          <w:bCs/>
        </w:rPr>
        <w:t xml:space="preserve">ETF: </w:t>
      </w:r>
      <w:r w:rsidRPr="00D45BFD">
        <w:t>Harald Enzmann (CHMP Chair), Bruno Sepodes (CHMP Vice-chair), Sabine Straus (PRAC Chair), Koenraad Norga (PDCO Chair), Anja Schiel (SAWP Chair), Maria Cortizo (IDWP Chair), Filip Josephson (IDWP), Regine Lehnert (IDWP), Nathalie Morgensztejn (</w:t>
      </w:r>
      <w:r w:rsidRPr="00D45BFD">
        <w:t xml:space="preserve">IDWP), Mair Powell (VWP Chair), Eleonora Wijnans (VWP), Mikael Andersson (VWP), Sol Ruiz (BWP Chair), Ralf Wagner (CMC/NC assessor), Blanka Hirshlerova (QWP Chair), Sven-Erik Hillver (QWP), Jean-Michel Dogne (PRAC and GACVS), Ann Marie Janson Lang (CTFG), </w:t>
      </w:r>
      <w:r w:rsidRPr="00D45BFD">
        <w:t>Jacqueline Kerr (BPWP), Ita Walsh (BPWP), Agustin Portela (VWP member), Isabelle Bekeredjian- Ding (VWP member), Dagmar Stara (EC), Ulla Wändel Liminga (PRAC), Martin Huber (PRAC Vice-chair), Daniel Morales (PRAC), Kora Doorduyn - van der Stoep (CMDh Vice-</w:t>
      </w:r>
      <w:r w:rsidRPr="00D45BFD">
        <w:t xml:space="preserve">chair), Rui Pedro da Costa Vilar (CMDh alternate), Cesar Hernandez Garcia (CMDh expert), </w:t>
      </w:r>
      <w:r w:rsidRPr="00D45BFD">
        <w:rPr>
          <w:rFonts w:eastAsia="Times New Roman"/>
        </w:rPr>
        <w:t>Jan Müller-Berghaus (SAWP and CAT member)</w:t>
      </w:r>
      <w:r>
        <w:rPr>
          <w:rFonts w:eastAsia="Times New Roman"/>
        </w:rPr>
        <w:t xml:space="preserve">, Sara Galluzzo (PDCO member), </w:t>
      </w:r>
      <w:r w:rsidRPr="008C58EB">
        <w:rPr>
          <w:rFonts w:eastAsia="SimSun"/>
        </w:rPr>
        <w:t>Sabine Mayrhofer</w:t>
      </w:r>
      <w:r>
        <w:rPr>
          <w:rFonts w:eastAsia="SimSun"/>
        </w:rPr>
        <w:t xml:space="preserve"> (expert)</w:t>
      </w:r>
      <w:r w:rsidR="00F139B6">
        <w:rPr>
          <w:rFonts w:eastAsia="SimSun"/>
        </w:rPr>
        <w:t xml:space="preserve">, </w:t>
      </w:r>
      <w:r w:rsidRPr="006A3468" w:rsidR="006A3468">
        <w:rPr>
          <w:rFonts w:eastAsia="SimSun"/>
        </w:rPr>
        <w:t>Ingrid Schellens</w:t>
      </w:r>
      <w:r w:rsidR="006A3468">
        <w:rPr>
          <w:rFonts w:eastAsia="SimSun"/>
        </w:rPr>
        <w:t xml:space="preserve"> (</w:t>
      </w:r>
      <w:r w:rsidRPr="006A3468" w:rsidR="006A3468">
        <w:rPr>
          <w:rFonts w:eastAsia="SimSun"/>
        </w:rPr>
        <w:t>SAWP Alternate</w:t>
      </w:r>
      <w:r w:rsidR="006A3468">
        <w:rPr>
          <w:rFonts w:eastAsia="SimSun"/>
        </w:rPr>
        <w:t xml:space="preserve">), </w:t>
      </w:r>
      <w:r w:rsidRPr="006A3468" w:rsidR="006A3468">
        <w:rPr>
          <w:rFonts w:eastAsia="SimSun"/>
        </w:rPr>
        <w:t>Charlotta Bergquist</w:t>
      </w:r>
      <w:r w:rsidR="006A3468">
        <w:rPr>
          <w:rFonts w:eastAsia="SimSun"/>
        </w:rPr>
        <w:t xml:space="preserve"> (V</w:t>
      </w:r>
      <w:r w:rsidRPr="006A3468" w:rsidR="006A3468">
        <w:rPr>
          <w:rFonts w:eastAsia="SimSun"/>
        </w:rPr>
        <w:t xml:space="preserve">WP </w:t>
      </w:r>
      <w:r w:rsidR="006A3468">
        <w:rPr>
          <w:rFonts w:eastAsia="SimSun"/>
        </w:rPr>
        <w:t>–</w:t>
      </w:r>
      <w:r w:rsidRPr="006A3468" w:rsidR="006A3468">
        <w:rPr>
          <w:rFonts w:eastAsia="SimSun"/>
        </w:rPr>
        <w:t xml:space="preserve"> member</w:t>
      </w:r>
      <w:r w:rsidR="006A3468">
        <w:rPr>
          <w:rFonts w:eastAsia="SimSun"/>
        </w:rPr>
        <w:t xml:space="preserve">), </w:t>
      </w:r>
      <w:r w:rsidRPr="006A3468" w:rsidR="006A3468">
        <w:rPr>
          <w:rFonts w:eastAsia="SimSun"/>
        </w:rPr>
        <w:t>Kaisa Immonen</w:t>
      </w:r>
      <w:r w:rsidR="006A3468">
        <w:rPr>
          <w:rFonts w:eastAsia="SimSun"/>
        </w:rPr>
        <w:t xml:space="preserve"> (C</w:t>
      </w:r>
      <w:r w:rsidRPr="006A3468" w:rsidR="006A3468">
        <w:rPr>
          <w:rFonts w:eastAsia="SimSun"/>
        </w:rPr>
        <w:t xml:space="preserve">ivil society </w:t>
      </w:r>
      <w:r w:rsidR="006A3468">
        <w:rPr>
          <w:rFonts w:eastAsia="SimSun"/>
        </w:rPr>
        <w:t>–</w:t>
      </w:r>
      <w:r w:rsidRPr="006A3468" w:rsidR="006A3468">
        <w:rPr>
          <w:rFonts w:eastAsia="SimSun"/>
        </w:rPr>
        <w:t xml:space="preserve"> observer</w:t>
      </w:r>
      <w:r w:rsidR="006A3468">
        <w:rPr>
          <w:rFonts w:eastAsia="SimSun"/>
        </w:rPr>
        <w:t xml:space="preserve">), </w:t>
      </w:r>
      <w:r w:rsidRPr="006A3468" w:rsidR="006A3468">
        <w:rPr>
          <w:rFonts w:eastAsia="SimSun"/>
        </w:rPr>
        <w:t>Leire Solis</w:t>
      </w:r>
      <w:r w:rsidR="006A3468">
        <w:rPr>
          <w:rFonts w:eastAsia="SimSun"/>
        </w:rPr>
        <w:t xml:space="preserve"> (C</w:t>
      </w:r>
      <w:r w:rsidRPr="006A3468" w:rsidR="006A3468">
        <w:rPr>
          <w:rFonts w:eastAsia="SimSun"/>
        </w:rPr>
        <w:t>ivil society - observer alternate</w:t>
      </w:r>
      <w:r w:rsidR="006A3468">
        <w:rPr>
          <w:rFonts w:eastAsia="SimSun"/>
        </w:rPr>
        <w:t xml:space="preserve">), </w:t>
      </w:r>
      <w:r w:rsidRPr="006A3468" w:rsidR="006A3468">
        <w:rPr>
          <w:rFonts w:eastAsia="SimSun"/>
        </w:rPr>
        <w:t>Anita Simond</w:t>
      </w:r>
      <w:r w:rsidR="006A3468">
        <w:rPr>
          <w:rFonts w:eastAsia="SimSun"/>
        </w:rPr>
        <w:t xml:space="preserve"> (</w:t>
      </w:r>
      <w:r w:rsidRPr="006A3468" w:rsidR="006A3468">
        <w:rPr>
          <w:rFonts w:eastAsia="SimSun"/>
        </w:rPr>
        <w:t xml:space="preserve">Civil society </w:t>
      </w:r>
      <w:r w:rsidR="006A3468">
        <w:rPr>
          <w:rFonts w:eastAsia="SimSun"/>
        </w:rPr>
        <w:t>–</w:t>
      </w:r>
      <w:r w:rsidRPr="006A3468" w:rsidR="006A3468">
        <w:rPr>
          <w:rFonts w:eastAsia="SimSun"/>
        </w:rPr>
        <w:t xml:space="preserve"> observer</w:t>
      </w:r>
      <w:r w:rsidR="006A3468">
        <w:rPr>
          <w:rFonts w:eastAsia="SimSun"/>
        </w:rPr>
        <w:t xml:space="preserve">), </w:t>
      </w:r>
      <w:r w:rsidRPr="006A3468" w:rsidR="006A3468">
        <w:rPr>
          <w:rFonts w:eastAsia="SimSun"/>
        </w:rPr>
        <w:t>Tiago Villanueva</w:t>
      </w:r>
      <w:r w:rsidR="006A3468">
        <w:rPr>
          <w:rFonts w:eastAsia="SimSun"/>
        </w:rPr>
        <w:t xml:space="preserve"> (</w:t>
      </w:r>
      <w:r w:rsidRPr="006A3468" w:rsidR="006A3468">
        <w:rPr>
          <w:rFonts w:eastAsia="SimSun"/>
        </w:rPr>
        <w:t>Civil society - observer alternate</w:t>
      </w:r>
      <w:r w:rsidR="006A3468">
        <w:rPr>
          <w:rFonts w:eastAsia="SimSun"/>
        </w:rPr>
        <w:t>)</w:t>
      </w:r>
    </w:p>
    <w:p w:rsidR="0026390A" w:rsidRPr="00C92C35" w:rsidP="0026390A" w14:paraId="21D5F621" w14:textId="77777777">
      <w:pPr>
        <w:pStyle w:val="BodytextAgency"/>
      </w:pPr>
      <w:r w:rsidRPr="00C92C35">
        <w:rPr>
          <w:b/>
          <w:bCs/>
        </w:rPr>
        <w:t>EMA Responsive team</w:t>
      </w:r>
      <w:r w:rsidRPr="00C92C35">
        <w:t xml:space="preserve">: Marco Cavaleri (Scientific Lead, </w:t>
      </w:r>
      <w:r w:rsidRPr="00C92C35">
        <w:t xml:space="preserve">Biological Health Threats and Vaccines Strategy Office (HTV)), </w:t>
      </w:r>
      <w:r w:rsidRPr="009818C1">
        <w:t xml:space="preserve">Agnès Saint-Raymond </w:t>
      </w:r>
      <w:r w:rsidRPr="00C92C35">
        <w:t>(</w:t>
      </w:r>
      <w:r>
        <w:t xml:space="preserve">Head of </w:t>
      </w:r>
      <w:r w:rsidRPr="00C92C35">
        <w:t>Int</w:t>
      </w:r>
      <w:r>
        <w:t>ernational</w:t>
      </w:r>
      <w:r w:rsidRPr="00C92C35">
        <w:t xml:space="preserve"> Affairs </w:t>
      </w:r>
      <w:r>
        <w:t>Division</w:t>
      </w:r>
      <w:r w:rsidRPr="00C92C35">
        <w:t>, AF-IA), Monika Benstetter (Head of Office of Media and Public Relations S-CO-MPR), Marie-Agnes Heine (Head of Communication Departme</w:t>
      </w:r>
      <w:r w:rsidRPr="00C92C35">
        <w:t xml:space="preserve">nt S-CO), Veronika Jekerle (Head of Pharmaceutical Quality H-QS-QUA), Iordanis Gravanis (Head of Scientific Advice Office, D-DS-SCA), Jane Moseley (Head of Inspections, H-QS-ISP), </w:t>
      </w:r>
      <w:r w:rsidRPr="00DF3730">
        <w:t>Xavier Kurz</w:t>
      </w:r>
      <w:r w:rsidRPr="00C92C35">
        <w:t xml:space="preserve"> (Head of Data Analytics, TDA-DAT)</w:t>
      </w:r>
      <w:r>
        <w:t xml:space="preserve">, Peter Arlett (Head of </w:t>
      </w:r>
      <w:r w:rsidRPr="00930822">
        <w:t>Data An</w:t>
      </w:r>
      <w:r w:rsidRPr="00930822">
        <w:t>alytics and Methods Task Force (TDA)</w:t>
      </w:r>
      <w:r>
        <w:t xml:space="preserve">), Fergus Sweeney (Head of </w:t>
      </w:r>
      <w:r w:rsidRPr="00930822">
        <w:t>Clinical Studies and Manufacturing Task Force (TCS)</w:t>
      </w:r>
      <w:r>
        <w:t xml:space="preserve">), Alexis Nolte (Head of </w:t>
      </w:r>
      <w:r w:rsidRPr="00930822">
        <w:t xml:space="preserve">Human Medicines </w:t>
      </w:r>
      <w:r>
        <w:t xml:space="preserve">Division </w:t>
      </w:r>
      <w:r w:rsidRPr="00930822">
        <w:t>(H)</w:t>
      </w:r>
      <w:r>
        <w:t xml:space="preserve">, Irene Rager (Head of </w:t>
      </w:r>
      <w:r w:rsidRPr="00930822">
        <w:t>Vaccines and therapies for infectious diseases</w:t>
      </w:r>
      <w:r>
        <w:t xml:space="preserve"> Office</w:t>
      </w:r>
      <w:r w:rsidRPr="00930822">
        <w:t xml:space="preserve"> (H-INF)</w:t>
      </w:r>
      <w:r>
        <w:t>)</w:t>
      </w:r>
      <w:r w:rsidR="00FF5321">
        <w:t xml:space="preserve">, </w:t>
      </w:r>
      <w:r w:rsidRPr="00FF5321" w:rsidR="00FF5321">
        <w:t>Spiridon Vamvakas</w:t>
      </w:r>
      <w:r w:rsidR="00FF5321">
        <w:t xml:space="preserve"> (</w:t>
      </w:r>
      <w:r w:rsidRPr="00FF5321" w:rsidR="00FF5321">
        <w:t>Scientific Adviser on Human Medicines</w:t>
      </w:r>
      <w:r w:rsidR="00FF5321">
        <w:t>), Morgane de Verdiere (</w:t>
      </w:r>
      <w:r>
        <w:t xml:space="preserve">Head of </w:t>
      </w:r>
      <w:r w:rsidRPr="00887637">
        <w:t xml:space="preserve">Medical and Health Information </w:t>
      </w:r>
      <w:r>
        <w:t xml:space="preserve">Office </w:t>
      </w:r>
      <w:r w:rsidRPr="00887637">
        <w:t>(S-PH-MHI)</w:t>
      </w:r>
      <w:r>
        <w:t>)</w:t>
      </w:r>
      <w:r w:rsidR="00C0661D">
        <w:t xml:space="preserve">, </w:t>
      </w:r>
      <w:r w:rsidRPr="00C0661D" w:rsidR="00C0661D">
        <w:t>Georgy Genov</w:t>
      </w:r>
      <w:r w:rsidR="00C0661D">
        <w:t xml:space="preserve"> (</w:t>
      </w:r>
      <w:r>
        <w:t xml:space="preserve">Head of </w:t>
      </w:r>
      <w:r w:rsidRPr="00B41684">
        <w:t>Pharmacovigilance</w:t>
      </w:r>
      <w:r>
        <w:t xml:space="preserve"> Office (</w:t>
      </w:r>
      <w:r w:rsidRPr="00B41684">
        <w:t>H-QS-PHV</w:t>
      </w:r>
      <w:r w:rsidR="00C0661D">
        <w:t>)</w:t>
      </w:r>
      <w:r>
        <w:t xml:space="preserve">), </w:t>
      </w:r>
      <w:r w:rsidRPr="00D61E6A">
        <w:t>Jordi Llinares Garcia</w:t>
      </w:r>
      <w:r>
        <w:t xml:space="preserve"> (</w:t>
      </w:r>
      <w:r w:rsidRPr="00D61E6A">
        <w:t>Regulatory Science and Innovation</w:t>
      </w:r>
      <w:r>
        <w:t xml:space="preserve">- </w:t>
      </w:r>
      <w:r w:rsidRPr="00D61E6A">
        <w:t>R</w:t>
      </w:r>
      <w:r w:rsidRPr="00D61E6A">
        <w:t>esearch and Innovation – Head of Workstream</w:t>
      </w:r>
      <w:r>
        <w:t>)</w:t>
      </w:r>
    </w:p>
    <w:p w:rsidR="002F7DE9" w:rsidP="002F7DE9" w14:paraId="285003B1" w14:textId="77777777">
      <w:pPr>
        <w:pStyle w:val="BodytextAgency"/>
      </w:pPr>
      <w:r w:rsidRPr="00C92C35">
        <w:rPr>
          <w:b/>
          <w:bCs/>
        </w:rPr>
        <w:t>EMA operational staff</w:t>
      </w:r>
      <w:r w:rsidRPr="00C92C35">
        <w:t>: Monica Dias</w:t>
      </w:r>
      <w:r w:rsidR="001C5279">
        <w:t xml:space="preserve"> (WS on supply)</w:t>
      </w:r>
      <w:r w:rsidRPr="00C92C35">
        <w:t xml:space="preserve">, Manuela Mura (Scientific Coordination Officer, SCO, HTV office), </w:t>
      </w:r>
      <w:r>
        <w:t xml:space="preserve">Radu Botgros (HTV Office), </w:t>
      </w:r>
      <w:r w:rsidRPr="00C92C35">
        <w:t xml:space="preserve">Ragini Shivji (Pharmaceutical Quality Office), Eric Pelfrene </w:t>
      </w:r>
      <w:r w:rsidRPr="00C92C35">
        <w:t>(Vaccines and Therapeutics for Infectious Diseases INF Office), Laura Fregonese (Paediatric Medicines Office, H-EG-PME), Jaime</w:t>
      </w:r>
      <w:r w:rsidRPr="0035473F" w:rsidR="0035473F">
        <w:t xml:space="preserve"> Oliva Peñas </w:t>
      </w:r>
      <w:r w:rsidRPr="00C92C35">
        <w:t>(INF Office), Maribel Gonzalez (INF Office), Efthymios Manolis (Scientific Advice Office, D-DS-SCA), Zigmars Sebris (</w:t>
      </w:r>
      <w:r w:rsidRPr="00C92C35">
        <w:t>Reg Affairs Office, H-QA-REG), Monika Mayr (GMP Inspection Office),</w:t>
      </w:r>
      <w:r w:rsidR="00AD6A0D">
        <w:t xml:space="preserve"> Palle </w:t>
      </w:r>
      <w:r w:rsidRPr="00B95D54" w:rsidR="00AD6A0D">
        <w:t xml:space="preserve">Valentiner-Branth </w:t>
      </w:r>
      <w:r w:rsidRPr="00C92C35">
        <w:t>(INF Office)</w:t>
      </w:r>
      <w:r w:rsidR="00C92C35">
        <w:t>,</w:t>
      </w:r>
      <w:r w:rsidR="001C5279">
        <w:t xml:space="preserve"> Brenda</w:t>
      </w:r>
      <w:r w:rsidR="00FB38DA">
        <w:t>n</w:t>
      </w:r>
      <w:r w:rsidR="001C5279">
        <w:t xml:space="preserve"> Cuddy (WS supply)</w:t>
      </w:r>
      <w:r>
        <w:t>, Margarida Guimaraes (H-QS-PHV)</w:t>
      </w:r>
      <w:r w:rsidR="00FF5321">
        <w:t>, Andrew Thomson (TDA-MET), Sophie Labbe (S-CO-MPR), Richard Vesely (</w:t>
      </w:r>
      <w:r w:rsidRPr="00887637">
        <w:t>H-IMM</w:t>
      </w:r>
      <w:r>
        <w:t>)</w:t>
      </w:r>
      <w:r w:rsidR="00FF5321">
        <w:t>, Francesca Scotti (</w:t>
      </w:r>
      <w:r w:rsidRPr="00FF5321" w:rsidR="00FF5321">
        <w:t>TCS-CTS)</w:t>
      </w:r>
      <w:r w:rsidR="00C0661D">
        <w:t xml:space="preserve">, </w:t>
      </w:r>
      <w:r w:rsidRPr="00C0661D" w:rsidR="00C0661D">
        <w:t>Nacho Mbaeliachi</w:t>
      </w:r>
      <w:r w:rsidR="00C0661D">
        <w:t xml:space="preserve"> (</w:t>
      </w:r>
      <w:r w:rsidRPr="00C0661D" w:rsidR="00C0661D">
        <w:t>S-PH-MHI</w:t>
      </w:r>
      <w:r w:rsidR="00C0661D">
        <w:t>)</w:t>
      </w:r>
      <w:r>
        <w:t>, Evangelos Kotzagiorgis (</w:t>
      </w:r>
      <w:r w:rsidRPr="005051B6">
        <w:t>H-QS-QUA</w:t>
      </w:r>
      <w:r>
        <w:t>)</w:t>
      </w:r>
    </w:p>
    <w:p w:rsidR="009F71DA" w14:paraId="20AA5D84" w14:textId="77777777">
      <w:pPr>
        <w:rPr>
          <w:rFonts w:ascii="Verdana" w:eastAsia="Verdana" w:hAnsi="Verdana" w:cs="Verdana"/>
          <w:sz w:val="18"/>
          <w:szCs w:val="18"/>
          <w:lang w:eastAsia="en-GB"/>
        </w:rPr>
      </w:pPr>
      <w:r>
        <w:br w:type="page"/>
      </w:r>
    </w:p>
    <w:p w:rsidR="00A32F90" w:rsidRPr="00A32F90" w:rsidP="00A32F90" w14:paraId="42D25DFB" w14:textId="77777777">
      <w:pPr>
        <w:pStyle w:val="Heading2Agency0"/>
        <w:tabs>
          <w:tab w:val="clear" w:pos="851"/>
        </w:tabs>
        <w:ind w:left="1134" w:hanging="1134"/>
      </w:pPr>
      <w:bookmarkStart w:id="2" w:name="_Toc425171443"/>
      <w:bookmarkStart w:id="3" w:name="_Toc26190846"/>
      <w:bookmarkStart w:id="4" w:name="_Ref32166880"/>
      <w:r w:rsidRPr="00A32F90">
        <w:t>Annex II – List of participants</w:t>
      </w:r>
      <w:bookmarkEnd w:id="2"/>
      <w:bookmarkEnd w:id="3"/>
      <w:bookmarkEnd w:id="4"/>
    </w:p>
    <w:p w:rsidR="00A32F90" w:rsidRPr="00A32F90" w:rsidP="00A32F90" w14:paraId="1B6C3589" w14:textId="77777777">
      <w:pPr>
        <w:spacing w:after="140" w:line="280" w:lineRule="atLeast"/>
        <w:rPr>
          <w:rFonts w:ascii="Verdana" w:eastAsia="Verdana" w:hAnsi="Verdana"/>
          <w:sz w:val="18"/>
          <w:szCs w:val="18"/>
          <w:lang w:eastAsia="en-GB"/>
        </w:rPr>
      </w:pPr>
      <w:r w:rsidRPr="00A32F90">
        <w:rPr>
          <w:rFonts w:ascii="Verdana" w:eastAsia="Verdana" w:hAnsi="Verdana"/>
          <w:sz w:val="18"/>
          <w:szCs w:val="18"/>
          <w:lang w:eastAsia="en-GB"/>
        </w:rPr>
        <w:t xml:space="preserve">including any restrictions with respect to involvement of members / alternates / experts following evaluation of declared interests for the </w:t>
      </w:r>
      <w:r>
        <w:rPr>
          <w:rFonts w:ascii="Verdana" w:eastAsia="Verdana" w:hAnsi="Verdana"/>
          <w:sz w:val="18"/>
          <w:szCs w:val="18"/>
          <w:lang w:eastAsia="en-GB"/>
        </w:rPr>
        <w:t>ETF mee</w:t>
      </w:r>
      <w:r>
        <w:rPr>
          <w:rFonts w:ascii="Verdana" w:eastAsia="Verdana" w:hAnsi="Verdana"/>
          <w:sz w:val="18"/>
          <w:szCs w:val="18"/>
          <w:lang w:eastAsia="en-GB"/>
        </w:rPr>
        <w:t>ting on 26</w:t>
      </w:r>
      <w:r w:rsidRPr="009A2E49" w:rsidR="009A2E49">
        <w:rPr>
          <w:rFonts w:ascii="Verdana" w:eastAsia="Verdana" w:hAnsi="Verdana"/>
          <w:sz w:val="18"/>
          <w:szCs w:val="18"/>
          <w:vertAlign w:val="superscript"/>
          <w:lang w:eastAsia="en-GB"/>
        </w:rPr>
        <w:t>th</w:t>
      </w:r>
      <w:r w:rsidR="009A2E49">
        <w:rPr>
          <w:rFonts w:ascii="Verdana" w:eastAsia="Verdana" w:hAnsi="Verdana"/>
          <w:sz w:val="18"/>
          <w:szCs w:val="18"/>
          <w:lang w:eastAsia="en-GB"/>
        </w:rPr>
        <w:t xml:space="preserve"> November</w:t>
      </w:r>
      <w:r>
        <w:rPr>
          <w:rFonts w:ascii="Verdana" w:eastAsia="Verdana" w:hAnsi="Verdana"/>
          <w:sz w:val="18"/>
          <w:szCs w:val="18"/>
          <w:lang w:eastAsia="en-GB"/>
        </w:rPr>
        <w:t xml:space="preserve"> 2020</w:t>
      </w:r>
      <w:r w:rsidRPr="00A32F90">
        <w:rPr>
          <w:rFonts w:ascii="Verdana" w:eastAsia="Verdana" w:hAnsi="Verdana"/>
          <w:sz w:val="18"/>
          <w:szCs w:val="18"/>
          <w:lang w:eastAsia="en-GB"/>
        </w:rPr>
        <w:t>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2512"/>
        <w:gridCol w:w="1572"/>
        <w:gridCol w:w="1879"/>
        <w:gridCol w:w="1572"/>
        <w:gridCol w:w="1877"/>
      </w:tblGrid>
      <w:tr w14:paraId="092F1336" w14:textId="77777777" w:rsidTr="00A32F90">
        <w:tblPrEx>
          <w:tblW w:w="5000" w:type="pct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6" w:space="0" w:color="FFFFFF"/>
            <w:insideV w:val="single" w:sz="6" w:space="0" w:color="FFFFFF"/>
          </w:tblBorders>
          <w:tblLook w:val="01E0"/>
        </w:tblPrEx>
        <w:trPr>
          <w:tblHeader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003399"/>
          </w:tcPr>
          <w:p w:rsidR="00A32F90" w:rsidRPr="00A32F90" w:rsidP="00A32F90" w14:paraId="214E89F6" w14:textId="77777777">
            <w:pPr>
              <w:keepNext/>
              <w:spacing w:after="140" w:line="280" w:lineRule="atLeast"/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</w:pPr>
            <w:r w:rsidRPr="00A32F90"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003399"/>
          </w:tcPr>
          <w:p w:rsidR="00A32F90" w:rsidRPr="00A32F90" w:rsidP="00A32F90" w14:paraId="5D0F56E4" w14:textId="77777777">
            <w:pPr>
              <w:keepNext/>
              <w:spacing w:after="140" w:line="280" w:lineRule="atLeast"/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</w:pPr>
            <w:r w:rsidRPr="00A32F90"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  <w:t>Role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003399"/>
          </w:tcPr>
          <w:p w:rsidR="00A32F90" w:rsidRPr="00A32F90" w:rsidP="00A32F90" w14:paraId="30854F55" w14:textId="77777777">
            <w:pPr>
              <w:keepNext/>
              <w:spacing w:after="140" w:line="280" w:lineRule="atLeast"/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</w:pPr>
            <w:r w:rsidRPr="00A32F90"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  <w:t>Member state or affiliation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003399"/>
          </w:tcPr>
          <w:p w:rsidR="00A32F90" w:rsidRPr="00A32F90" w:rsidP="00A32F90" w14:paraId="054135F1" w14:textId="77777777">
            <w:pPr>
              <w:keepNext/>
              <w:spacing w:after="140" w:line="280" w:lineRule="atLeast"/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</w:pPr>
            <w:r w:rsidRPr="00A32F90"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  <w:t>Outcome restriction following evaluation of e-DoI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003399"/>
          </w:tcPr>
          <w:p w:rsidR="00A32F90" w:rsidRPr="00A32F90" w:rsidP="00A32F90" w14:paraId="31BF0BA9" w14:textId="77777777">
            <w:pPr>
              <w:keepNext/>
              <w:spacing w:after="140" w:line="280" w:lineRule="atLeast"/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</w:pPr>
            <w:r w:rsidRPr="00A32F90"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  <w:t>Topics on agenda for which restrictions apply</w:t>
            </w:r>
          </w:p>
        </w:tc>
      </w:tr>
      <w:tr w14:paraId="1EC4B6B9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6E00B6A9" w14:textId="77777777">
            <w:pPr>
              <w:pStyle w:val="BodytextAgency"/>
              <w:rPr>
                <w:rFonts w:eastAsia="SimSun"/>
              </w:rPr>
            </w:pPr>
            <w:r w:rsidRPr="00133F7F">
              <w:t>Harald Enzmann</w:t>
            </w:r>
            <w:r>
              <w:t xml:space="preserve"> 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2C6C6C8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Member 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568B551F" w14:textId="77777777">
            <w:pPr>
              <w:pStyle w:val="BodytextAgency"/>
              <w:rPr>
                <w:rFonts w:eastAsia="SimSun"/>
              </w:rPr>
            </w:pPr>
            <w:r>
              <w:t>CHMP - 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3A4D724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482717B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179AE60E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7BA28D60" w14:textId="77777777">
            <w:pPr>
              <w:pStyle w:val="BodytextAgency"/>
              <w:rPr>
                <w:rFonts w:eastAsia="SimSun"/>
              </w:rPr>
            </w:pPr>
            <w:r w:rsidRPr="00133F7F">
              <w:t xml:space="preserve">Bruno </w:t>
            </w:r>
            <w:r w:rsidRPr="00133F7F">
              <w:t>Sepodes</w:t>
            </w:r>
            <w:r>
              <w:t xml:space="preserve"> 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2616A89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4E4E877D" w14:textId="77777777">
            <w:pPr>
              <w:pStyle w:val="BodytextAgency"/>
              <w:rPr>
                <w:rFonts w:eastAsia="SimSun"/>
              </w:rPr>
            </w:pPr>
            <w:r>
              <w:t xml:space="preserve">CHMP </w:t>
            </w:r>
            <w:r w:rsidR="006D0DDB">
              <w:t>–</w:t>
            </w:r>
            <w:r>
              <w:t xml:space="preserve"> vice</w:t>
            </w:r>
            <w:r w:rsidR="006D0DDB">
              <w:t>-</w:t>
            </w:r>
            <w:r>
              <w:t>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35B0B00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565F0DA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4426F404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2C7877A3" w14:textId="77777777">
            <w:pPr>
              <w:pStyle w:val="BodytextAgency"/>
              <w:rPr>
                <w:rFonts w:eastAsia="SimSun"/>
              </w:rPr>
            </w:pPr>
            <w:r w:rsidRPr="00133F7F">
              <w:t>Sabine Straus</w:t>
            </w:r>
            <w:r>
              <w:t xml:space="preserve"> 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249265C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1F587584" w14:textId="77777777">
            <w:pPr>
              <w:pStyle w:val="BodytextAgency"/>
              <w:rPr>
                <w:rFonts w:eastAsia="SimSun"/>
              </w:rPr>
            </w:pPr>
            <w:r>
              <w:t>PRAC - 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1FA10F1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00CC996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640090DE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256C1C3E" w14:textId="77777777">
            <w:pPr>
              <w:pStyle w:val="BodytextAgency"/>
              <w:rPr>
                <w:rFonts w:eastAsia="SimSun"/>
              </w:rPr>
            </w:pPr>
            <w:r w:rsidRPr="00133F7F">
              <w:t>Koenraad Norga</w:t>
            </w:r>
            <w:r>
              <w:t xml:space="preserve"> 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3F842CD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4CB94EC2" w14:textId="77777777">
            <w:pPr>
              <w:pStyle w:val="BodytextAgency"/>
              <w:rPr>
                <w:rFonts w:eastAsia="SimSun"/>
              </w:rPr>
            </w:pPr>
            <w:r>
              <w:t>PDCO - 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7C0F3EB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No restrictions applicable to this meeting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6FE5F54D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5DE57E49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04C28545" w14:textId="77777777">
            <w:pPr>
              <w:pStyle w:val="BodytextAgency"/>
              <w:rPr>
                <w:rFonts w:eastAsia="SimSun"/>
              </w:rPr>
            </w:pPr>
            <w:r w:rsidRPr="002F2813">
              <w:t xml:space="preserve">Anja </w:t>
            </w:r>
            <w:r w:rsidRPr="002F2813">
              <w:t>Schiel</w:t>
            </w:r>
            <w:r>
              <w:t xml:space="preserve"> 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357F5BC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71F054C7" w14:textId="77777777">
            <w:pPr>
              <w:pStyle w:val="BodytextAgency"/>
              <w:rPr>
                <w:rFonts w:eastAsia="SimSun"/>
              </w:rPr>
            </w:pPr>
            <w:r>
              <w:t>SAWP - 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2BF149A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62A48DEC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5EEC92AE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482A9168" w14:textId="77777777">
            <w:pPr>
              <w:pStyle w:val="BodytextAgency"/>
              <w:rPr>
                <w:rFonts w:eastAsia="SimSun"/>
              </w:rPr>
            </w:pPr>
            <w:r>
              <w:t>Maria Cortizo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2419294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74519B93" w14:textId="77777777">
            <w:pPr>
              <w:pStyle w:val="BodytextAgency"/>
              <w:rPr>
                <w:rFonts w:eastAsia="SimSun"/>
              </w:rPr>
            </w:pPr>
            <w:r>
              <w:t>IDWP - 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79CA503C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6174F51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1A9FB0F7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34C4170C" w14:textId="77777777">
            <w:pPr>
              <w:pStyle w:val="BodytextAgency"/>
              <w:rPr>
                <w:rFonts w:eastAsia="SimSun"/>
              </w:rPr>
            </w:pPr>
            <w:r>
              <w:t>Filip Josephson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61B4E82C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743BBE64" w14:textId="77777777">
            <w:pPr>
              <w:pStyle w:val="BodytextAgency"/>
              <w:rPr>
                <w:rFonts w:eastAsia="SimSun"/>
              </w:rPr>
            </w:pPr>
            <w:r>
              <w:t>IDWP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3303FD70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3B1E75F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7FA42883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7B54A45B" w14:textId="77777777">
            <w:pPr>
              <w:pStyle w:val="BodytextAgency"/>
              <w:rPr>
                <w:rFonts w:eastAsia="SimSun"/>
              </w:rPr>
            </w:pPr>
            <w:r w:rsidRPr="00133F7F">
              <w:t>Regine Lehnert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793232D6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15D53EA5" w14:textId="77777777">
            <w:pPr>
              <w:pStyle w:val="BodytextAgency"/>
              <w:rPr>
                <w:rFonts w:eastAsia="SimSun"/>
              </w:rPr>
            </w:pPr>
            <w:r>
              <w:t xml:space="preserve">IDWP - </w:t>
            </w:r>
            <w:r>
              <w:t>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30D1000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5CFA0BD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00FFF0C2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57B336C1" w14:textId="77777777">
            <w:pPr>
              <w:pStyle w:val="BodytextAgency"/>
              <w:rPr>
                <w:rFonts w:eastAsia="SimSun"/>
              </w:rPr>
            </w:pPr>
            <w:r w:rsidRPr="00133F7F">
              <w:t>Nathalie Morgensztejn</w:t>
            </w:r>
            <w:r>
              <w:t xml:space="preserve"> 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11486C0C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2265CB59" w14:textId="77777777">
            <w:pPr>
              <w:pStyle w:val="BodytextAgency"/>
              <w:rPr>
                <w:rFonts w:eastAsia="SimSun"/>
              </w:rPr>
            </w:pPr>
            <w:r>
              <w:t>IDWP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3636D7A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70FBA54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2B535EC1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75C3E7DD" w14:textId="77777777">
            <w:pPr>
              <w:pStyle w:val="BodytextAgency"/>
              <w:rPr>
                <w:rFonts w:eastAsia="SimSun"/>
              </w:rPr>
            </w:pPr>
            <w:r>
              <w:t>Mair Powell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77A2FBA0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429C158C" w14:textId="77777777">
            <w:pPr>
              <w:pStyle w:val="BodytextAgency"/>
              <w:rPr>
                <w:rFonts w:eastAsia="SimSun"/>
              </w:rPr>
            </w:pPr>
            <w:r>
              <w:t>VWP - 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78F36F6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2E05B090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7A5FEB49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3866CECE" w14:textId="77777777">
            <w:pPr>
              <w:pStyle w:val="BodytextAgency"/>
              <w:rPr>
                <w:rFonts w:eastAsia="SimSun"/>
              </w:rPr>
            </w:pPr>
            <w:r>
              <w:t>Mikael Andersson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5B18939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58E40BFC" w14:textId="77777777">
            <w:pPr>
              <w:pStyle w:val="BodytextAgency"/>
              <w:rPr>
                <w:rFonts w:eastAsia="SimSun"/>
              </w:rPr>
            </w:pPr>
            <w:r>
              <w:t>VWP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3FAC987D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No </w:t>
            </w: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5B62DA5C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0618F934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4CD256FD" w14:textId="77777777">
            <w:pPr>
              <w:pStyle w:val="BodytextAgency"/>
              <w:rPr>
                <w:rFonts w:eastAsia="SimSun"/>
              </w:rPr>
            </w:pPr>
            <w:r>
              <w:t>Sol Ruiz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3C601156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4C85D986" w14:textId="77777777">
            <w:pPr>
              <w:pStyle w:val="BodytextAgency"/>
              <w:rPr>
                <w:rFonts w:eastAsia="SimSun"/>
              </w:rPr>
            </w:pPr>
            <w:r>
              <w:t>BWP - 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45F6B5E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24AC6E8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656593DD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071CF04C" w14:textId="77777777">
            <w:pPr>
              <w:pStyle w:val="BodytextAgency"/>
              <w:rPr>
                <w:rFonts w:eastAsia="SimSun"/>
              </w:rPr>
            </w:pPr>
            <w:r>
              <w:t>Ralf Wagner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7C3B541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0B17122A" w14:textId="77777777">
            <w:pPr>
              <w:pStyle w:val="BodytextAgency"/>
              <w:rPr>
                <w:rFonts w:eastAsia="SimSun"/>
              </w:rPr>
            </w:pPr>
            <w:r>
              <w:t>BWP - assessor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0F209420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6FDF524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71CA16D5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04E6662C" w14:textId="77777777">
            <w:pPr>
              <w:pStyle w:val="BodytextAgency"/>
              <w:rPr>
                <w:rFonts w:eastAsia="SimSun"/>
              </w:rPr>
            </w:pPr>
            <w:r>
              <w:t>Blanka Hirschlerova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15EA542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59AABEB8" w14:textId="77777777">
            <w:pPr>
              <w:pStyle w:val="BodytextAgency"/>
              <w:rPr>
                <w:rFonts w:eastAsia="SimSun"/>
              </w:rPr>
            </w:pPr>
            <w:r>
              <w:t>QWP - 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06638A4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33BCEC82" w14:textId="77777777">
            <w:pPr>
              <w:rPr>
                <w:rFonts w:ascii="Verdana" w:eastAsia="SimSun" w:hAnsi="Verdana"/>
                <w:sz w:val="18"/>
                <w:szCs w:val="18"/>
                <w:lang w:val="fr-FR"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Full </w:t>
            </w: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involvement</w:t>
            </w:r>
          </w:p>
        </w:tc>
      </w:tr>
      <w:tr w14:paraId="6F6C765F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70DAE0E3" w14:textId="77777777">
            <w:pPr>
              <w:pStyle w:val="BodytextAgency"/>
              <w:rPr>
                <w:rFonts w:eastAsia="SimSun"/>
              </w:rPr>
            </w:pPr>
            <w:r w:rsidRPr="00D21408">
              <w:t>Sven-Erik Hillver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17F259E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476ED87E" w14:textId="77777777">
            <w:pPr>
              <w:pStyle w:val="BodytextAgency"/>
              <w:rPr>
                <w:rFonts w:eastAsia="SimSun"/>
              </w:rPr>
            </w:pPr>
            <w:r>
              <w:t>QWP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027425C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3CD917A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3E028C94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2F060729" w14:textId="77777777">
            <w:pPr>
              <w:pStyle w:val="BodytextAgency"/>
              <w:rPr>
                <w:rFonts w:eastAsia="SimSun"/>
              </w:rPr>
            </w:pPr>
            <w:r>
              <w:t>Jean-Michel Dogne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154D720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915D76" w:rsidP="00E85A8A" w14:paraId="571D6BD6" w14:textId="77777777">
            <w:pPr>
              <w:pStyle w:val="BodytextAgency"/>
            </w:pPr>
            <w:r>
              <w:t>PRAC, WHO GACVS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1EBEC80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180CCC3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39DD5B70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02D7F19F" w14:textId="77777777">
            <w:pPr>
              <w:pStyle w:val="BodytextAgency"/>
              <w:rPr>
                <w:rFonts w:eastAsia="SimSun"/>
                <w:lang w:val="fr-FR"/>
              </w:rPr>
            </w:pPr>
            <w:bookmarkStart w:id="5" w:name="_Hlk36119615"/>
            <w:r w:rsidRPr="00F8202E">
              <w:rPr>
                <w:lang w:val="fr-FR"/>
              </w:rPr>
              <w:t>Ann Marie Janson Lang</w:t>
            </w:r>
            <w:bookmarkEnd w:id="5"/>
            <w:r w:rsidRPr="00F8202E">
              <w:rPr>
                <w:lang w:val="fr-FR"/>
              </w:rPr>
              <w:t xml:space="preserve"> </w:t>
            </w:r>
            <w:r>
              <w:rPr>
                <w:lang w:val="fr-FR"/>
              </w:rPr>
              <w:t>(</w:t>
            </w:r>
            <w:r w:rsidRPr="00F8202E">
              <w:rPr>
                <w:lang w:val="fr-FR"/>
              </w:rPr>
              <w:t>MPA SE</w:t>
            </w:r>
            <w:r>
              <w:rPr>
                <w:lang w:val="fr-FR"/>
              </w:rPr>
              <w:t>)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315D0ACC" w14:textId="77777777">
            <w:pPr>
              <w:rPr>
                <w:rFonts w:ascii="Verdana" w:eastAsia="SimSun" w:hAnsi="Verdana"/>
                <w:sz w:val="18"/>
                <w:szCs w:val="18"/>
                <w:lang w:val="fr-FR"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83504D" w:rsidP="00E85A8A" w14:paraId="59740A21" w14:textId="77777777">
            <w:pPr>
              <w:pStyle w:val="BodytextAgency"/>
            </w:pPr>
            <w:r>
              <w:t>CTFG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915D76" w:rsidP="00E85A8A" w14:paraId="53B5728C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915D76" w:rsidP="00E85A8A" w14:paraId="72F8478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Full </w:t>
            </w: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involvement</w:t>
            </w:r>
          </w:p>
        </w:tc>
      </w:tr>
      <w:tr w14:paraId="07F8E46D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7C09BD83" w14:textId="77777777">
            <w:pPr>
              <w:pStyle w:val="BodytextAgency"/>
              <w:rPr>
                <w:rFonts w:eastAsia="SimSun"/>
              </w:rPr>
            </w:pPr>
            <w:r>
              <w:rPr>
                <w:lang w:val="fr-FR"/>
              </w:rPr>
              <w:t>Eleonora Wijnans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1CB84506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643CC986" w14:textId="77777777">
            <w:pPr>
              <w:pStyle w:val="BodytextAgency"/>
              <w:rPr>
                <w:rFonts w:eastAsia="SimSun"/>
              </w:rPr>
            </w:pPr>
            <w:r>
              <w:rPr>
                <w:lang w:val="fr-FR"/>
              </w:rPr>
              <w:t>VWP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0B0C0B6D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681EFDBB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1C9F1CFC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725FD5E1" w14:textId="77777777">
            <w:pPr>
              <w:pStyle w:val="BodytextAgency"/>
              <w:rPr>
                <w:rFonts w:eastAsia="SimSun"/>
              </w:rPr>
            </w:pPr>
            <w:bookmarkStart w:id="6" w:name="_Hlk36119631"/>
            <w:r w:rsidRPr="000A101F">
              <w:rPr>
                <w:lang w:val="fr-FR"/>
              </w:rPr>
              <w:t>Jacqueline</w:t>
            </w:r>
            <w:r>
              <w:rPr>
                <w:lang w:val="fr-FR"/>
              </w:rPr>
              <w:t xml:space="preserve"> Kerr</w:t>
            </w:r>
            <w:bookmarkEnd w:id="6"/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619CFFFD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5F157270" w14:textId="77777777">
            <w:pPr>
              <w:pStyle w:val="BodytextAgency"/>
              <w:rPr>
                <w:rFonts w:eastAsia="SimSun"/>
              </w:rPr>
            </w:pPr>
            <w:r>
              <w:rPr>
                <w:lang w:val="fr-FR"/>
              </w:rPr>
              <w:t>BPWP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54D4113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66A6809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64C41A97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A32F90" w:rsidP="00E85A8A" w14:paraId="1F27AF03" w14:textId="77777777">
            <w:pPr>
              <w:pStyle w:val="BodytextAgency"/>
              <w:rPr>
                <w:rFonts w:eastAsia="SimSun"/>
              </w:rPr>
            </w:pPr>
            <w:bookmarkStart w:id="7" w:name="_Hlk36119641"/>
            <w:r w:rsidRPr="000A101F">
              <w:rPr>
                <w:lang w:val="fr-FR"/>
              </w:rPr>
              <w:t>Ita Walsh</w:t>
            </w:r>
            <w:bookmarkEnd w:id="7"/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5071DA2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3ACB2917" w14:textId="77777777">
            <w:pPr>
              <w:pStyle w:val="BodytextAgency"/>
              <w:rPr>
                <w:rFonts w:eastAsia="SimSun"/>
              </w:rPr>
            </w:pPr>
            <w:r>
              <w:rPr>
                <w:lang w:val="fr-FR"/>
              </w:rPr>
              <w:t>BPWP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1EF43B2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1A8E6BA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3FC5480E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0A101F" w:rsidP="00E85A8A" w14:paraId="523CEC8B" w14:textId="77777777">
            <w:pPr>
              <w:pStyle w:val="BodytextAgency"/>
              <w:rPr>
                <w:lang w:val="fr-FR"/>
              </w:rPr>
            </w:pPr>
            <w:r w:rsidRPr="00A226DD">
              <w:rPr>
                <w:lang w:val="fr-FR"/>
              </w:rPr>
              <w:t xml:space="preserve">Agustin </w:t>
            </w:r>
            <w:r w:rsidRPr="00A226DD">
              <w:rPr>
                <w:lang w:val="fr-FR"/>
              </w:rPr>
              <w:t>Portela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4C19FD" w:rsidP="00E85A8A" w14:paraId="064B7A9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P="00E85A8A" w14:paraId="18AAFADA" w14:textId="77777777">
            <w:pPr>
              <w:pStyle w:val="BodytextAgency"/>
              <w:rPr>
                <w:lang w:val="fr-FR"/>
              </w:rPr>
            </w:pPr>
            <w:r>
              <w:rPr>
                <w:lang w:val="fr-FR"/>
              </w:rPr>
              <w:t>VWP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72664AAB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0A2664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594B7B4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5A2CBC99" w14:textId="77777777" w:rsidTr="00CE6D64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E85A8A" w:rsidRPr="000A101F" w:rsidP="00E85A8A" w14:paraId="0E6A2532" w14:textId="77777777">
            <w:pPr>
              <w:pStyle w:val="BodytextAgency"/>
              <w:rPr>
                <w:lang w:val="fr-FR"/>
              </w:rPr>
            </w:pPr>
            <w:r w:rsidRPr="00A226DD">
              <w:rPr>
                <w:lang w:val="fr-FR"/>
              </w:rPr>
              <w:t>Isabelle Bekeredjian- Ding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4C19FD" w:rsidP="00E85A8A" w14:paraId="1921960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C19FD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P="00E85A8A" w14:paraId="388654FA" w14:textId="77777777">
            <w:pPr>
              <w:pStyle w:val="BodytextAgency"/>
              <w:rPr>
                <w:lang w:val="fr-FR"/>
              </w:rPr>
            </w:pPr>
            <w:r>
              <w:rPr>
                <w:lang w:val="fr-FR"/>
              </w:rPr>
              <w:t>VWP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5A8A" w:rsidRPr="00A32F90" w:rsidP="00E85A8A" w14:paraId="1476D60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</w:t>
            </w: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5A8A" w:rsidRPr="00A32F90" w:rsidP="00E85A8A" w14:paraId="2DFCE6BD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14938C58" w14:textId="77777777" w:rsidTr="00A32F90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B3F0C" w:rsidP="001B3F0C" w14:paraId="014C0E8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1B3F0C">
              <w:rPr>
                <w:rFonts w:ascii="Verdana" w:eastAsia="SimSun" w:hAnsi="Verdana"/>
                <w:sz w:val="18"/>
                <w:szCs w:val="18"/>
                <w:lang w:eastAsia="en-GB"/>
              </w:rPr>
              <w:t>Ulla Wändel Liming</w:t>
            </w: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B3F0C" w:rsidP="001B3F0C" w14:paraId="5DD71050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B3F0C" w:rsidP="001B3F0C" w14:paraId="1E99A5C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PRAC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B3F0C" w:rsidRPr="00A32F90" w:rsidP="001B3F0C" w14:paraId="0779AAF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</w:t>
            </w: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1B3F0C" w:rsidRPr="00A32F90" w:rsidP="001B3F0C" w14:paraId="61A1BB1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180F5768" w14:textId="77777777" w:rsidTr="00A32F90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6D0DDB" w:rsidRPr="001B3F0C" w:rsidP="006D0DDB" w14:paraId="7B7BD2C6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Martin Huber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6D0DDB" w:rsidP="006D0DDB" w14:paraId="5851E8B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6D0DDB" w:rsidP="006D0DDB" w14:paraId="5959BF2C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PRAC – vice-chair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6D0DDB" w:rsidRPr="00E85A8A" w:rsidP="006D0DDB" w14:paraId="6307DD2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</w:t>
            </w: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6D0DDB" w:rsidRPr="00E85A8A" w:rsidP="006D0DDB" w14:paraId="3FBB85F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6C2C48AE" w14:textId="77777777" w:rsidTr="00011D63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93465E" w:rsidP="00011D63" w14:paraId="1F99023B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Daniel Morales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93465E" w:rsidP="00011D63" w14:paraId="4BF755EB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Member 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93465E" w:rsidP="00011D63" w14:paraId="6AA7F2F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PRAC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93465E" w:rsidRPr="00E85A8A" w:rsidP="00011D63" w14:paraId="482091F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</w:t>
            </w: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93465E" w:rsidRPr="00E85A8A" w:rsidP="00011D63" w14:paraId="248DBA2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0144CD5F" w14:textId="77777777" w:rsidTr="00A87DB9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D45BFD" w:rsidRPr="00D45BFD" w:rsidP="00D45BFD" w14:paraId="79ED3078" w14:textId="77777777">
            <w:pPr>
              <w:rPr>
                <w:rFonts w:ascii="Verdana" w:eastAsia="SimSun" w:hAnsi="Verdana"/>
                <w:sz w:val="18"/>
                <w:szCs w:val="18"/>
                <w:lang w:val="nl-NL" w:eastAsia="en-GB"/>
              </w:rPr>
            </w:pPr>
            <w:r w:rsidRPr="00D45BFD">
              <w:rPr>
                <w:rFonts w:ascii="Verdana" w:eastAsia="SimSun" w:hAnsi="Verdana"/>
                <w:sz w:val="18"/>
                <w:szCs w:val="18"/>
                <w:lang w:val="nl-NL" w:eastAsia="en-GB"/>
              </w:rPr>
              <w:t>Kora Doorduyn - van der Stoep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D45BFD" w:rsidRPr="00D45BFD" w:rsidP="00D45BFD" w14:paraId="1B697624" w14:textId="77777777">
            <w:pPr>
              <w:rPr>
                <w:rFonts w:ascii="Verdana" w:eastAsia="SimSun" w:hAnsi="Verdana"/>
                <w:sz w:val="18"/>
                <w:szCs w:val="18"/>
                <w:lang w:val="nl-NL"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val="nl-NL"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D45BFD" w:rsidRPr="00D45BFD" w:rsidP="00D45BFD" w14:paraId="37E5F10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D45BFD">
              <w:rPr>
                <w:rFonts w:ascii="Verdana" w:eastAsia="SimSun" w:hAnsi="Verdana"/>
                <w:sz w:val="18"/>
                <w:szCs w:val="18"/>
                <w:lang w:eastAsia="en-GB"/>
              </w:rPr>
              <w:t>CMDh -chair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D45BFD" w:rsidRPr="00E85A8A" w:rsidP="00D45BFD" w14:paraId="0B5BC0D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</w:t>
            </w: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D45BFD" w:rsidRPr="00E85A8A" w:rsidP="00D45BFD" w14:paraId="5A015C7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3F78DBDB" w14:textId="77777777" w:rsidTr="00A87DB9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0E0FDC" w:rsidRPr="008F3406" w:rsidP="00A87DB9" w14:paraId="47877952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8F3406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 xml:space="preserve">Rui Pedro da Costa </w:t>
            </w:r>
            <w:r w:rsidRPr="008F3406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Vilar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0E0FDC" w:rsidRPr="008F3406" w:rsidP="00A87DB9" w14:paraId="33462764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Member 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0E0FDC" w:rsidRPr="008F3406" w:rsidP="00A87DB9" w14:paraId="2561FC26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CMDh - alternate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0E0FDC" w:rsidRPr="008F3406" w:rsidP="00A87DB9" w14:paraId="3B1308F5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</w:t>
            </w: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0E0FDC" w:rsidRPr="008F3406" w:rsidP="00A87DB9" w14:paraId="644B7FF6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3D3CEAD2" w14:textId="77777777" w:rsidTr="00A87DB9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E20D7" w:rsidRPr="008F3406" w:rsidP="001E20D7" w14:paraId="1A973215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1E20D7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Jan Müller-Berghaus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E20D7" w:rsidP="001E20D7" w14:paraId="35691B1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E20D7" w:rsidP="001E20D7" w14:paraId="1C40CB19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SAWP and CAT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E20D7" w:rsidRPr="00E85A8A" w:rsidP="001E20D7" w14:paraId="7CBC491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</w:t>
            </w: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1E20D7" w:rsidRPr="00E85A8A" w:rsidP="001E20D7" w14:paraId="5E4CA40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17DF7407" w14:textId="77777777" w:rsidTr="00A32F90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C1A0A" w:rsidP="008C1A0A" w14:paraId="65094B0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8C1A0A">
              <w:rPr>
                <w:rFonts w:ascii="Verdana" w:eastAsia="SimSun" w:hAnsi="Verdana"/>
                <w:sz w:val="18"/>
                <w:szCs w:val="18"/>
                <w:lang w:eastAsia="en-GB"/>
              </w:rPr>
              <w:t>Sara Galluzzo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C1A0A" w:rsidP="008C1A0A" w14:paraId="3091774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C1A0A" w:rsidP="008C1A0A" w14:paraId="579AEB0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PDCO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C1A0A" w:rsidRPr="00E85A8A" w:rsidP="008C1A0A" w14:paraId="6D36BFB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</w:t>
            </w: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C1A0A" w:rsidRPr="00E85A8A" w:rsidP="008C1A0A" w14:paraId="686578FD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6F7E803D" w14:textId="77777777" w:rsidTr="00BE362C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6A6115" w:rsidP="00BE362C" w14:paraId="7272FC8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8C58EB"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Sabine </w:t>
            </w:r>
            <w:r w:rsidRPr="008C58EB">
              <w:rPr>
                <w:rFonts w:ascii="Verdana" w:eastAsia="SimSun" w:hAnsi="Verdana"/>
                <w:sz w:val="18"/>
                <w:szCs w:val="18"/>
                <w:lang w:eastAsia="en-GB"/>
              </w:rPr>
              <w:t>Mayrhofer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6A6115" w:rsidP="00BE362C" w14:paraId="404E5B3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6A6115" w:rsidP="00BE362C" w14:paraId="190D8820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CHMP - Expert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6A6115" w:rsidP="00BE362C" w14:paraId="372BE9E0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6A6115" w:rsidP="00BE362C" w14:paraId="2AB7FD5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328E6CDF" w14:textId="77777777" w:rsidTr="00A32F90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630AA69C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Ingrid Schellens</w:t>
            </w:r>
          </w:p>
          <w:p w:rsidR="00F139B6" w:rsidRPr="006A3468" w:rsidP="00F139B6" w14:paraId="2AA691A7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532E8B7C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3BA9E964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SAWP Alternate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E85A8A" w:rsidP="00F139B6" w14:paraId="006B76E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F139B6" w:rsidRPr="00E85A8A" w:rsidP="00F139B6" w14:paraId="35BD19A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054A5136" w14:textId="77777777" w:rsidTr="00A32F90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1CF36B59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Charlotta Bergquist</w:t>
            </w:r>
          </w:p>
          <w:p w:rsidR="00F139B6" w:rsidRPr="006A3468" w:rsidP="00F139B6" w14:paraId="416A01FC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1ADAF36C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5CB925AA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VWP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E85A8A" w:rsidP="00F139B6" w14:paraId="45E6C3C6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F139B6" w:rsidRPr="00E85A8A" w:rsidP="00F139B6" w14:paraId="40F154AD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5C870AC3" w14:textId="77777777" w:rsidTr="00A32F90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0F1A285C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Dagmar Stara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798B1D8C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68F972AD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EC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A32F90" w:rsidP="00F139B6" w14:paraId="44B14990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F139B6" w:rsidRPr="00A32F90" w:rsidP="00F139B6" w14:paraId="605FF6AC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E85A8A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7838E7FD" w14:textId="77777777" w:rsidTr="002862E3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43B4B25B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Edit Szepessy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062B2CE5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Expert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41660CE1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EC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0308FCB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F139B6" w:rsidP="00F139B6" w14:paraId="0AD3BE5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2A985C2F" w14:textId="77777777" w:rsidTr="00970390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3A28DF72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Kristof Bonnarens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4D10DD6C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Expert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1B0B5D3E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EC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1E04C14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F139B6" w:rsidP="00F139B6" w14:paraId="3778A680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26EF6671" w14:textId="77777777" w:rsidTr="0089226A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32154F31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Laurence O'Dwyer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768BD5A7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Expert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6D90531D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EU IN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54D16BA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F139B6" w:rsidP="00F139B6" w14:paraId="011BEA1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Full </w:t>
            </w: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involvement</w:t>
            </w:r>
          </w:p>
        </w:tc>
      </w:tr>
      <w:tr w14:paraId="56E2A86E" w14:textId="77777777" w:rsidTr="0089226A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4939D5D7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bookmarkStart w:id="8" w:name="_Hlk53400933"/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Kaisa Immonen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4ACD87D0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Observer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49E00B88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Civil society - observer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3327397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 restrictions applicable to this meeting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F139B6" w:rsidP="00F139B6" w14:paraId="02D595DB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F5CB7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1303DA6D" w14:textId="77777777" w:rsidTr="0089226A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506474CE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Leire Solis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38E1E272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Alternate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4CB90090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Civil society - observer alternate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7057634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 restrictions applicable to this meeting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F139B6" w:rsidP="00F139B6" w14:paraId="6388D29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F5CB7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0CFD8A6D" w14:textId="77777777" w:rsidTr="0089226A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15DF4CD6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 xml:space="preserve">Anita </w:t>
            </w: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Simond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32935AED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Observer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5A13FDE1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Civil society - observer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4BFF7B0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 restrictions applicable to this meeting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F139B6" w:rsidP="00F139B6" w14:paraId="231F90A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4F5CB7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68116E7D" w14:textId="77777777" w:rsidTr="0089226A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75B421B4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Tiago Villanueva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1A7DF9BE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Alternate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RPr="006A3468" w:rsidP="00F139B6" w14:paraId="6DE2B188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6A3468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Civil society - observer alternate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2CC1A17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F139B6" w:rsidP="00F139B6" w14:paraId="1B5D5EF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6FE81DE9" w14:textId="77777777" w:rsidTr="009E4273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A05A65" w:rsidP="00F139B6" w14:paraId="7FC8B12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bookmarkEnd w:id="8"/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Marco Cavaleri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5141667B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ETF - chair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55056ECC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EMA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4C787A7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No interests </w:t>
            </w: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F139B6" w:rsidP="00F139B6" w14:paraId="44FE6EA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14B7994B" w14:textId="77777777" w:rsidTr="009E4273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A05A65" w:rsidP="00F139B6" w14:paraId="36D06FA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Manuela Mura (or relevant back -up)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755824D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ETF Secretariat (vaccines)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51896D3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EMA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2030E58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F139B6" w:rsidP="00F139B6" w14:paraId="0EE2252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43DB4B55" w14:textId="77777777" w:rsidTr="009E4273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A05A65" w:rsidP="00F139B6" w14:paraId="6280831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Radu Botgros (or relevant back -up)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7732406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ETF Secretariat (therapeutics)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5DDDA5F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EMA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1B34694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F139B6" w:rsidP="00F139B6" w14:paraId="44B7378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6CB31F73" w14:textId="77777777" w:rsidTr="009E4273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RPr="00A05A65" w:rsidP="00F139B6" w14:paraId="4EE5C250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Katarzyna Turobos (or relevant back -up)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5F5C470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ETF Secretariat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721D10A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EMA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139B6" w:rsidP="00F139B6" w14:paraId="601503AD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F139B6" w:rsidP="00F139B6" w14:paraId="213AED6C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</w:tbl>
    <w:p w:rsidR="009F71DA" w:rsidRPr="00C92C35" w:rsidP="002F7DE9" w14:paraId="2ECA691A" w14:textId="77777777">
      <w:pPr>
        <w:pStyle w:val="BodytextAgency"/>
      </w:pPr>
    </w:p>
    <w:sectPr w:rsidSect="00735C3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247" w:bottom="1418" w:left="1247" w:header="284" w:footer="68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0F7C" w14:paraId="2F39FDC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ook w:val="01E0"/>
    </w:tblPr>
    <w:tblGrid>
      <w:gridCol w:w="6195"/>
      <w:gridCol w:w="3217"/>
    </w:tblGrid>
    <w:tr w14:paraId="635374C6" w14:textId="77777777">
      <w:tblPrEx>
        <w:tblW w:w="5000" w:type="pct"/>
        <w:tblLook w:val="01E0"/>
      </w:tblPrEx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9F71DA" w14:paraId="5761F07B" w14:textId="77777777">
          <w:pPr>
            <w:pStyle w:val="FooterAgency"/>
          </w:pPr>
        </w:p>
      </w:tc>
    </w:tr>
    <w:tr w14:paraId="76819C13" w14:textId="77777777">
      <w:tblPrEx>
        <w:tblW w:w="5000" w:type="pct"/>
        <w:tblLook w:val="01E0"/>
      </w:tblPrEx>
      <w:tc>
        <w:tcPr>
          <w:tcW w:w="3291" w:type="pct"/>
          <w:tcMar>
            <w:left w:w="0" w:type="dxa"/>
            <w:right w:w="0" w:type="dxa"/>
          </w:tcMar>
        </w:tcPr>
        <w:p w:rsidR="009F71DA" w14:paraId="13B3C4D2" w14:textId="0100B600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Pr="00934D80" w:rsidR="00934D80">
            <w:fldChar w:fldCharType="begin"/>
          </w:r>
          <w:r>
            <w:instrText xml:space="preserve"> STYLEREF  "Doc title (Agency)"  \* MERGEFORMAT </w:instrText>
          </w:r>
          <w:r w:rsidRPr="00934D80" w:rsidR="00934D80">
            <w:fldChar w:fldCharType="separate"/>
          </w:r>
          <w:r w:rsidRPr="0056067B" w:rsidR="0056067B">
            <w:rPr>
              <w:b/>
              <w:bCs/>
              <w:noProof/>
              <w:lang w:val="en-US"/>
            </w:rPr>
            <w:instrText>Agenda for ETF meeting on vaccines against</w:instrText>
          </w:r>
          <w:r w:rsidR="0056067B">
            <w:rPr>
              <w:noProof/>
            </w:rPr>
            <w:instrText xml:space="preserve"> COVID-19</w:instrText>
          </w:r>
          <w:r w:rsidRPr="00934D80" w:rsidR="00934D80">
            <w:rPr>
              <w:b/>
              <w:bCs/>
              <w:noProof/>
              <w:lang w:val="en-US"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 w:rsidR="00934D80">
            <w:fldChar w:fldCharType="begin"/>
          </w:r>
          <w:r>
            <w:instrText xml:space="preserve"> STYLEREF  "Doc title (Agency)"  \* MERGEFORMAT </w:instrText>
          </w:r>
          <w:r w:rsidR="00934D80">
            <w:fldChar w:fldCharType="separate"/>
          </w:r>
          <w:r w:rsidR="0056067B">
            <w:rPr>
              <w:noProof/>
            </w:rPr>
            <w:instrText>Agenda for ETF meeting on vaccines against COVID-19</w:instrText>
          </w:r>
          <w:r w:rsidR="00934D80">
            <w:rPr>
              <w:noProof/>
            </w:rP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 w:rsidR="0056067B">
            <w:rPr>
              <w:noProof/>
            </w:rPr>
            <w:t>Agenda for ETF meeting on vaccines against COVID-19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:rsidR="009F71DA" w14:paraId="72926D8D" w14:textId="77777777">
          <w:pPr>
            <w:pStyle w:val="FooterAgency"/>
          </w:pPr>
        </w:p>
      </w:tc>
    </w:tr>
    <w:tr w14:paraId="6906D942" w14:textId="77777777">
      <w:tblPrEx>
        <w:tblW w:w="5000" w:type="pct"/>
        <w:tblLook w:val="01E0"/>
      </w:tblPrEx>
      <w:tc>
        <w:tcPr>
          <w:tcW w:w="3291" w:type="pct"/>
          <w:tcMar>
            <w:left w:w="0" w:type="dxa"/>
            <w:right w:w="0" w:type="dxa"/>
          </w:tcMar>
        </w:tcPr>
        <w:p w:rsidR="009F71DA" w14:paraId="654D8DCB" w14:textId="77777777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Pr="009F71DA">
            <w:fldChar w:fldCharType="begin"/>
          </w:r>
          <w:r>
            <w:instrText xml:space="preserve"> DOCPROPERTY "DM_emea_doc_ref_id"  \* MERGEFORMAT </w:instrText>
          </w:r>
          <w:r w:rsidRPr="009F71DA">
            <w:fldChar w:fldCharType="separate"/>
          </w:r>
          <w:r w:rsidRPr="008B4E99" w:rsidR="008B4E99">
            <w:rPr>
              <w:b/>
              <w:bCs/>
              <w:lang w:val="en-US"/>
            </w:rPr>
            <w:instrText>EMA/628963/2020</w:instrText>
          </w:r>
          <w:r w:rsidRPr="009F71DA">
            <w:rPr>
              <w:b/>
              <w:bCs/>
              <w:lang w:val="en-US"/>
            </w:rPr>
            <w:fldChar w:fldCharType="end"/>
          </w:r>
          <w:r>
            <w:rPr>
              <w:szCs w:val="15"/>
            </w:rPr>
            <w:instrText xml:space="preserve"> &lt;&gt; "Err</w:instrText>
          </w:r>
          <w:r>
            <w:rPr>
              <w:szCs w:val="15"/>
            </w:rPr>
            <w:instrText>or*"</w:instrText>
          </w:r>
          <w:r w:rsidR="008B4E99">
            <w:fldChar w:fldCharType="begin"/>
          </w:r>
          <w:r>
            <w:instrText xml:space="preserve"> DOCPROPERTY "DM_emea_doc_ref_id"  \* MERGEFORMAT </w:instrText>
          </w:r>
          <w:r w:rsidR="008B4E99">
            <w:fldChar w:fldCharType="separate"/>
          </w:r>
          <w:r w:rsidR="008B4E99">
            <w:instrText>EMA/628963/2020</w:instrText>
          </w:r>
          <w:r w:rsidR="008B4E99"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 w:rsidR="008B4E99">
            <w:rPr>
              <w:noProof/>
            </w:rPr>
            <w:t>EMA/628963/2020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:rsidR="009F71DA" w14:paraId="6B459F8D" w14:textId="77777777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1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1</w:t>
          </w:r>
          <w:r>
            <w:rPr>
              <w:rStyle w:val="PageNumberAgency0"/>
            </w:rPr>
            <w:fldChar w:fldCharType="end"/>
          </w:r>
        </w:p>
      </w:tc>
    </w:tr>
  </w:tbl>
  <w:p w:rsidR="00F70F7C" w:rsidP="009F71DA" w14:paraId="46C9AEB0" w14:textId="77777777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ayout w:type="fixed"/>
      <w:tblLook w:val="01E0"/>
    </w:tblPr>
    <w:tblGrid>
      <w:gridCol w:w="6520"/>
      <w:gridCol w:w="2892"/>
    </w:tblGrid>
    <w:tr w14:paraId="7D7195AF" w14:textId="77777777">
      <w:tblPrEx>
        <w:tblW w:w="5000" w:type="pct"/>
        <w:tblLayout w:type="fixed"/>
        <w:tblLook w:val="01E0"/>
      </w:tblPrEx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:rsidR="00735C35" w14:paraId="01503799" w14:textId="77777777">
          <w:pP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</w:p>
      </w:tc>
    </w:tr>
    <w:tr w14:paraId="04A83EAD" w14:textId="77777777">
      <w:tblPrEx>
        <w:tblW w:w="5000" w:type="pct"/>
        <w:tblLayout w:type="fixed"/>
        <w:tblLook w:val="01E0"/>
      </w:tblPrEx>
      <w:trPr>
        <w:cantSplit/>
        <w:trHeight w:hRule="exact" w:val="198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p w:rsidR="00735C35" w14:paraId="0988681E" w14:textId="77777777">
          <w:pP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  <w:r>
            <w:rPr>
              <w:rFonts w:ascii="Verdana" w:eastAsia="Verdana" w:hAnsi="Verdana" w:cs="Verdana"/>
              <w:b/>
              <w:color w:val="003399"/>
              <w:sz w:val="13"/>
              <w:szCs w:val="14"/>
              <w:lang w:eastAsia="en-GB"/>
            </w:rPr>
            <w:t>Official address</w: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t xml:space="preserve">  Domenico Scarlattilaan 6  </w:t>
          </w:r>
          <w:r>
            <w:rPr>
              <w:rFonts w:ascii="Verdana" w:eastAsia="Verdana" w:hAnsi="Verdana" w:cs="Verdana"/>
              <w:b/>
              <w:color w:val="003399"/>
              <w:sz w:val="13"/>
              <w:szCs w:val="14"/>
              <w:lang w:eastAsia="en-GB"/>
            </w:rPr>
            <w:t>●</w: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t xml:space="preserve">  1083 HS Amsterdam  </w:t>
          </w:r>
          <w:r>
            <w:rPr>
              <w:rFonts w:ascii="Verdana" w:eastAsia="Verdana" w:hAnsi="Verdana" w:cs="Verdana"/>
              <w:b/>
              <w:color w:val="003399"/>
              <w:sz w:val="13"/>
              <w:szCs w:val="14"/>
              <w:lang w:eastAsia="en-GB"/>
            </w:rPr>
            <w:t>●</w: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t xml:space="preserve">  The Netherlands</w:t>
          </w:r>
        </w:p>
      </w:tc>
      <w:tc>
        <w:tcPr>
          <w:tcW w:w="2892" w:type="dxa"/>
          <w:vMerge w:val="restart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/>
          </w:tblPr>
          <w:tblGrid>
            <w:gridCol w:w="2183"/>
            <w:gridCol w:w="709"/>
          </w:tblGrid>
          <w:tr w14:paraId="42795AA2" w14:textId="77777777">
            <w:tblPrEx>
              <w:tblW w:w="0" w:type="auto"/>
              <w:jc w:val="right"/>
              <w:tblLayout w:type="fixed"/>
              <w:tblLook w:val="01E0"/>
            </w:tblPrEx>
            <w:trPr>
              <w:cantSplit/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735C35" w14:paraId="510F0A8F" w14:textId="77777777">
                <w:pPr>
                  <w:jc w:val="right"/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ascii="Verdana" w:eastAsia="Verdana" w:hAnsi="Verdana" w:cs="Verdana"/>
                    <w:color w:val="6D6F71"/>
                    <w:sz w:val="11"/>
                    <w:szCs w:val="11"/>
                    <w:lang w:eastAsia="en-GB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6" w:type="dxa"/>
                </w:tcMar>
                <w:vAlign w:val="bottom"/>
              </w:tcPr>
              <w:p w:rsidR="00735C35" w14:paraId="4914EA9D" w14:textId="77777777">
                <w:pPr>
                  <w:jc w:val="right"/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ascii="Verdana" w:eastAsia="Verdana" w:hAnsi="Verdana" w:cs="Verdana"/>
                    <w:noProof/>
                    <w:color w:val="6D6F71"/>
                    <w:sz w:val="14"/>
                    <w:szCs w:val="14"/>
                    <w:lang w:eastAsia="en-GB"/>
                  </w:rPr>
                  <w:drawing>
                    <wp:inline distT="0" distB="0" distL="0" distR="0">
                      <wp:extent cx="390525" cy="266700"/>
                      <wp:effectExtent l="0" t="0" r="9525" b="0"/>
                      <wp:docPr id="3" name="Picture 3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1858209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14:paraId="0BA0B3AD" w14:textId="77777777">
            <w:tblPrEx>
              <w:tblW w:w="0" w:type="auto"/>
              <w:jc w:val="right"/>
              <w:tblLayout w:type="fixed"/>
              <w:tblLook w:val="01E0"/>
            </w:tblPrEx>
            <w:trPr>
              <w:cantSplit/>
              <w:trHeight w:val="390"/>
              <w:jc w:val="right"/>
            </w:trPr>
            <w:tc>
              <w:tcPr>
                <w:tcW w:w="2183" w:type="dxa"/>
                <w:vMerge/>
              </w:tcPr>
              <w:p w:rsidR="00735C35" w14:paraId="4496CB46" w14:textId="77777777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</w:p>
            </w:tc>
            <w:tc>
              <w:tcPr>
                <w:tcW w:w="709" w:type="dxa"/>
                <w:vMerge/>
              </w:tcPr>
              <w:p w:rsidR="00735C35" w14:paraId="68010EC6" w14:textId="77777777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</w:p>
            </w:tc>
          </w:tr>
        </w:tbl>
        <w:p w:rsidR="00735C35" w14:paraId="2F199CFC" w14:textId="77777777">
          <w:pPr>
            <w:widowControl w:val="0"/>
            <w:adjustRightInd w:val="0"/>
            <w:jc w:val="right"/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</w:p>
      </w:tc>
    </w:tr>
    <w:tr w14:paraId="3E531699" w14:textId="77777777">
      <w:tblPrEx>
        <w:tblW w:w="5000" w:type="pct"/>
        <w:tblLayout w:type="fixed"/>
        <w:tblLook w:val="01E0"/>
      </w:tblPrEx>
      <w:trPr>
        <w:cantSplit/>
        <w:trHeight w:val="390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/>
          </w:tblPr>
          <w:tblGrid>
            <w:gridCol w:w="4111"/>
            <w:gridCol w:w="2410"/>
          </w:tblGrid>
          <w:tr w14:paraId="52AC1C3D" w14:textId="77777777">
            <w:tblPrEx>
              <w:tblW w:w="6521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:rsidR="00735C35" w14:paraId="45791F21" w14:textId="77777777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  <w:lang w:eastAsia="en-GB"/>
                  </w:rPr>
                  <w:t>Address for visits and deliveries</w:t>
                </w:r>
                <w: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  <w:t xml:space="preserve">  Refer to </w:t>
                </w:r>
                <w:r>
                  <w:rPr>
                    <w:rFonts w:ascii="Verdana" w:eastAsia="Verdana" w:hAnsi="Verdana" w:cs="Verdana"/>
                    <w:color w:val="808080"/>
                    <w:sz w:val="14"/>
                    <w:szCs w:val="14"/>
                    <w:lang w:eastAsia="en-GB"/>
                  </w:rPr>
                  <w:t xml:space="preserve">www.ema.europa.eu/how-to-find-us </w:t>
                </w:r>
              </w:p>
            </w:tc>
          </w:tr>
          <w:tr w14:paraId="56373A09" w14:textId="77777777">
            <w:tblPrEx>
              <w:tblW w:w="6521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4111" w:type="dxa"/>
                <w:vAlign w:val="bottom"/>
              </w:tcPr>
              <w:p w:rsidR="00735C35" w14:paraId="2FC4358A" w14:textId="77777777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  <w:lang w:eastAsia="en-GB"/>
                  </w:rPr>
                  <w:t xml:space="preserve">Send us a question  </w:t>
                </w:r>
                <w: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  <w:t xml:space="preserve">Go to </w:t>
                </w:r>
                <w:r>
                  <w:rPr>
                    <w:rFonts w:ascii="Verdana" w:eastAsia="Verdana" w:hAnsi="Verdana" w:cs="Verdana"/>
                    <w:color w:val="808080"/>
                    <w:sz w:val="14"/>
                    <w:szCs w:val="14"/>
                    <w:lang w:eastAsia="en-GB"/>
                  </w:rPr>
                  <w:t xml:space="preserve">www.ema.europa.eu/contact </w:t>
                </w:r>
              </w:p>
            </w:tc>
            <w:tc>
              <w:tcPr>
                <w:tcW w:w="2410" w:type="dxa"/>
                <w:vAlign w:val="bottom"/>
              </w:tcPr>
              <w:p w:rsidR="00735C35" w14:paraId="1546BFC2" w14:textId="77777777">
                <w:pPr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  <w:lang w:eastAsia="en-GB"/>
                  </w:rPr>
                </w:pPr>
                <w:r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  <w:lang w:eastAsia="en-GB"/>
                  </w:rPr>
                  <w:t>Telephone</w:t>
                </w:r>
                <w: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  <w:t xml:space="preserve"> +31 (0)88 781 6000</w:t>
                </w:r>
              </w:p>
            </w:tc>
          </w:tr>
        </w:tbl>
        <w:p w:rsidR="00735C35" w14:paraId="1FBA4CD4" w14:textId="77777777">
          <w:pP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</w:p>
      </w:tc>
      <w:tc>
        <w:tcPr>
          <w:tcW w:w="2892" w:type="dxa"/>
          <w:vMerge/>
          <w:tcMar>
            <w:left w:w="0" w:type="dxa"/>
            <w:right w:w="0" w:type="dxa"/>
          </w:tcMar>
          <w:vAlign w:val="bottom"/>
        </w:tcPr>
        <w:p w:rsidR="00735C35" w14:paraId="49222786" w14:textId="77777777">
          <w:pP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</w:p>
      </w:tc>
    </w:tr>
    <w:tr w14:paraId="756BA590" w14:textId="77777777">
      <w:tblPrEx>
        <w:tblW w:w="5000" w:type="pct"/>
        <w:tblLayout w:type="fixed"/>
        <w:tblLook w:val="01E0"/>
      </w:tblPrEx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:rsidR="00735C35" w14:paraId="1496BA09" w14:textId="77777777">
          <w:pP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</w:p>
      </w:tc>
    </w:tr>
    <w:tr w14:paraId="5A0FD7F6" w14:textId="77777777">
      <w:tblPrEx>
        <w:tblW w:w="5000" w:type="pct"/>
        <w:tblLayout w:type="fixed"/>
        <w:tblLook w:val="01E0"/>
      </w:tblPrEx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:rsidR="00735C35" w14:paraId="3DBB6B4A" w14:textId="77777777">
          <w:pPr>
            <w:jc w:val="center"/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t xml:space="preserve">© European Medicines Agency, </w: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fldChar w:fldCharType="begin"/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instrText xml:space="preserve"> DATE  \@ "yyyy"  \* MERGEFORMAT </w:instrTex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fldChar w:fldCharType="separate"/>
          </w:r>
          <w:r w:rsidR="00821563">
            <w:rPr>
              <w:rFonts w:ascii="Verdana" w:eastAsia="Verdana" w:hAnsi="Verdana" w:cs="Verdana"/>
              <w:noProof/>
              <w:color w:val="6D6F71"/>
              <w:sz w:val="14"/>
              <w:szCs w:val="14"/>
              <w:lang w:eastAsia="en-GB"/>
            </w:rPr>
            <w:t>2020</w: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fldChar w:fldCharType="end"/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t>. Reproduction is authorised provided the source is acknowledged.</w:t>
          </w:r>
        </w:p>
      </w:tc>
    </w:tr>
  </w:tbl>
  <w:p w:rsidR="00735C35" w:rsidP="00735C35" w14:paraId="2CDCEFA8" w14:textId="77777777">
    <w:pPr>
      <w:pStyle w:val="FooterAgency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0F7C" w14:paraId="14FDA15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0F7C" w14:paraId="3EE89F3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5C35" w:rsidP="00735C35" w14:paraId="18BDFF4D" w14:textId="77777777">
    <w:pPr>
      <w:pStyle w:val="FooterAgency"/>
      <w:jc w:val="center"/>
    </w:pPr>
    <w:r>
      <w:rPr>
        <w:noProof/>
      </w:rPr>
      <w:drawing>
        <wp:inline distT="0" distB="0" distL="0" distR="0">
          <wp:extent cx="3558600" cy="1796400"/>
          <wp:effectExtent l="0" t="0" r="381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8600" cy="179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  <w:num w:numId="16">
    <w:abstractNumId w:val="5"/>
    <w:lvlOverride w:ilvl="0">
      <w:lvl w:ilvl="0">
        <w:start w:val="1"/>
        <w:numFmt w:val="decimal"/>
        <w:lvlText w:val="%1. "/>
        <w:lvlJc w:val="left"/>
        <w:pPr>
          <w:tabs>
            <w:tab w:val="num" w:pos="5312"/>
          </w:tabs>
          <w:ind w:left="5312" w:hanging="99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 "/>
        <w:lvlJc w:val="left"/>
        <w:pPr>
          <w:tabs>
            <w:tab w:val="num" w:pos="6304"/>
          </w:tabs>
          <w:ind w:left="6304" w:hanging="9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 "/>
        <w:lvlJc w:val="left"/>
        <w:pPr>
          <w:tabs>
            <w:tab w:val="num" w:pos="7296"/>
          </w:tabs>
          <w:ind w:left="7296" w:hanging="992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 "/>
        <w:lvlJc w:val="left"/>
        <w:pPr>
          <w:tabs>
            <w:tab w:val="num" w:pos="8288"/>
          </w:tabs>
          <w:ind w:left="8288" w:hanging="992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 "/>
        <w:lvlJc w:val="left"/>
        <w:pPr>
          <w:ind w:left="9280" w:hanging="992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 "/>
        <w:lvlJc w:val="left"/>
        <w:pPr>
          <w:ind w:left="10272" w:hanging="992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 "/>
        <w:lvlJc w:val="left"/>
        <w:pPr>
          <w:ind w:left="11264" w:hanging="992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 "/>
        <w:lvlJc w:val="left"/>
        <w:pPr>
          <w:ind w:left="12256" w:hanging="992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 "/>
        <w:lvlJc w:val="left"/>
        <w:pPr>
          <w:ind w:left="13248" w:hanging="99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35"/>
    <w:rsid w:val="00011D63"/>
    <w:rsid w:val="00017876"/>
    <w:rsid w:val="000218EC"/>
    <w:rsid w:val="00027413"/>
    <w:rsid w:val="00057352"/>
    <w:rsid w:val="0007364E"/>
    <w:rsid w:val="000768B1"/>
    <w:rsid w:val="0008581E"/>
    <w:rsid w:val="000A101F"/>
    <w:rsid w:val="000A2664"/>
    <w:rsid w:val="000A5276"/>
    <w:rsid w:val="000A7D31"/>
    <w:rsid w:val="000B26CD"/>
    <w:rsid w:val="000B7F06"/>
    <w:rsid w:val="000D5F98"/>
    <w:rsid w:val="000E0FDC"/>
    <w:rsid w:val="000F7E69"/>
    <w:rsid w:val="00102BC4"/>
    <w:rsid w:val="00117E8C"/>
    <w:rsid w:val="00123E44"/>
    <w:rsid w:val="00133F7F"/>
    <w:rsid w:val="00135045"/>
    <w:rsid w:val="00147274"/>
    <w:rsid w:val="001728AC"/>
    <w:rsid w:val="00183BBB"/>
    <w:rsid w:val="001869C8"/>
    <w:rsid w:val="00195347"/>
    <w:rsid w:val="001A56DE"/>
    <w:rsid w:val="001A6732"/>
    <w:rsid w:val="001B009E"/>
    <w:rsid w:val="001B32C7"/>
    <w:rsid w:val="001B3F0C"/>
    <w:rsid w:val="001C37EB"/>
    <w:rsid w:val="001C5279"/>
    <w:rsid w:val="001E20D7"/>
    <w:rsid w:val="001E6C2E"/>
    <w:rsid w:val="00200D41"/>
    <w:rsid w:val="0020717C"/>
    <w:rsid w:val="0022731C"/>
    <w:rsid w:val="00233EDA"/>
    <w:rsid w:val="00252569"/>
    <w:rsid w:val="0026390A"/>
    <w:rsid w:val="002862E3"/>
    <w:rsid w:val="002B41EF"/>
    <w:rsid w:val="002B5E44"/>
    <w:rsid w:val="002D0764"/>
    <w:rsid w:val="002D481E"/>
    <w:rsid w:val="002E08FF"/>
    <w:rsid w:val="002F2813"/>
    <w:rsid w:val="002F7D16"/>
    <w:rsid w:val="002F7DE9"/>
    <w:rsid w:val="00310098"/>
    <w:rsid w:val="0031200B"/>
    <w:rsid w:val="00320837"/>
    <w:rsid w:val="00321B55"/>
    <w:rsid w:val="00324687"/>
    <w:rsid w:val="0033636B"/>
    <w:rsid w:val="00346264"/>
    <w:rsid w:val="003506E1"/>
    <w:rsid w:val="00353A50"/>
    <w:rsid w:val="0035473F"/>
    <w:rsid w:val="00355A42"/>
    <w:rsid w:val="003610F1"/>
    <w:rsid w:val="00387541"/>
    <w:rsid w:val="003A3B60"/>
    <w:rsid w:val="003C23EB"/>
    <w:rsid w:val="003E002D"/>
    <w:rsid w:val="003F0B60"/>
    <w:rsid w:val="004122A5"/>
    <w:rsid w:val="00422BBC"/>
    <w:rsid w:val="00434824"/>
    <w:rsid w:val="004427D5"/>
    <w:rsid w:val="004714FD"/>
    <w:rsid w:val="0049256C"/>
    <w:rsid w:val="00495794"/>
    <w:rsid w:val="004A682A"/>
    <w:rsid w:val="004A798E"/>
    <w:rsid w:val="004B398B"/>
    <w:rsid w:val="004C0D76"/>
    <w:rsid w:val="004C19FD"/>
    <w:rsid w:val="004D51F8"/>
    <w:rsid w:val="004E73D0"/>
    <w:rsid w:val="004F5CB7"/>
    <w:rsid w:val="005051B6"/>
    <w:rsid w:val="00517122"/>
    <w:rsid w:val="00533DE9"/>
    <w:rsid w:val="00555D00"/>
    <w:rsid w:val="0056067B"/>
    <w:rsid w:val="00577B07"/>
    <w:rsid w:val="005A496A"/>
    <w:rsid w:val="005A56BF"/>
    <w:rsid w:val="005B1D5A"/>
    <w:rsid w:val="005D5487"/>
    <w:rsid w:val="006062F4"/>
    <w:rsid w:val="006122E1"/>
    <w:rsid w:val="00613AB9"/>
    <w:rsid w:val="0063445D"/>
    <w:rsid w:val="006379A5"/>
    <w:rsid w:val="00646CFD"/>
    <w:rsid w:val="00650235"/>
    <w:rsid w:val="006505E1"/>
    <w:rsid w:val="0068600D"/>
    <w:rsid w:val="006866B9"/>
    <w:rsid w:val="0068736D"/>
    <w:rsid w:val="006A3468"/>
    <w:rsid w:val="006A6115"/>
    <w:rsid w:val="006D0DDB"/>
    <w:rsid w:val="006E14C3"/>
    <w:rsid w:val="006F293C"/>
    <w:rsid w:val="00735C35"/>
    <w:rsid w:val="00750B8D"/>
    <w:rsid w:val="00753A91"/>
    <w:rsid w:val="00760A0D"/>
    <w:rsid w:val="00767321"/>
    <w:rsid w:val="00782C9D"/>
    <w:rsid w:val="0078384D"/>
    <w:rsid w:val="0079182A"/>
    <w:rsid w:val="00795FF1"/>
    <w:rsid w:val="007A0884"/>
    <w:rsid w:val="007B3B91"/>
    <w:rsid w:val="007E284E"/>
    <w:rsid w:val="0080301F"/>
    <w:rsid w:val="00821563"/>
    <w:rsid w:val="0083504D"/>
    <w:rsid w:val="00835E21"/>
    <w:rsid w:val="008608E4"/>
    <w:rsid w:val="00862303"/>
    <w:rsid w:val="008803C9"/>
    <w:rsid w:val="00887637"/>
    <w:rsid w:val="0089226A"/>
    <w:rsid w:val="008B2C31"/>
    <w:rsid w:val="008B4E99"/>
    <w:rsid w:val="008C0E95"/>
    <w:rsid w:val="008C1A0A"/>
    <w:rsid w:val="008C58EB"/>
    <w:rsid w:val="008E223D"/>
    <w:rsid w:val="008F3231"/>
    <w:rsid w:val="008F3406"/>
    <w:rsid w:val="008F46E6"/>
    <w:rsid w:val="00915D76"/>
    <w:rsid w:val="00930822"/>
    <w:rsid w:val="0093465E"/>
    <w:rsid w:val="00934D80"/>
    <w:rsid w:val="0094363B"/>
    <w:rsid w:val="009459D9"/>
    <w:rsid w:val="00954817"/>
    <w:rsid w:val="00962E55"/>
    <w:rsid w:val="00964761"/>
    <w:rsid w:val="00970390"/>
    <w:rsid w:val="009744EC"/>
    <w:rsid w:val="009818C1"/>
    <w:rsid w:val="00981F06"/>
    <w:rsid w:val="00997775"/>
    <w:rsid w:val="009A20AD"/>
    <w:rsid w:val="009A2E49"/>
    <w:rsid w:val="009E219A"/>
    <w:rsid w:val="009F5751"/>
    <w:rsid w:val="009F71DA"/>
    <w:rsid w:val="00A05A65"/>
    <w:rsid w:val="00A226DD"/>
    <w:rsid w:val="00A32F90"/>
    <w:rsid w:val="00A53F68"/>
    <w:rsid w:val="00A62E55"/>
    <w:rsid w:val="00A67376"/>
    <w:rsid w:val="00A76DC5"/>
    <w:rsid w:val="00A850F6"/>
    <w:rsid w:val="00A87DB9"/>
    <w:rsid w:val="00AA1D0D"/>
    <w:rsid w:val="00AB7C2E"/>
    <w:rsid w:val="00AC2E8D"/>
    <w:rsid w:val="00AD6A0D"/>
    <w:rsid w:val="00AF1837"/>
    <w:rsid w:val="00AF6B45"/>
    <w:rsid w:val="00B03A08"/>
    <w:rsid w:val="00B10307"/>
    <w:rsid w:val="00B15E3E"/>
    <w:rsid w:val="00B16BCD"/>
    <w:rsid w:val="00B302B2"/>
    <w:rsid w:val="00B30C20"/>
    <w:rsid w:val="00B41684"/>
    <w:rsid w:val="00B4418A"/>
    <w:rsid w:val="00B60E9D"/>
    <w:rsid w:val="00B81056"/>
    <w:rsid w:val="00B95D54"/>
    <w:rsid w:val="00B96D5D"/>
    <w:rsid w:val="00BA6D11"/>
    <w:rsid w:val="00BC3C65"/>
    <w:rsid w:val="00BC4ABB"/>
    <w:rsid w:val="00BC58F4"/>
    <w:rsid w:val="00BE362C"/>
    <w:rsid w:val="00C01381"/>
    <w:rsid w:val="00C023F0"/>
    <w:rsid w:val="00C02A41"/>
    <w:rsid w:val="00C0661D"/>
    <w:rsid w:val="00C37E43"/>
    <w:rsid w:val="00C41EC9"/>
    <w:rsid w:val="00C56A56"/>
    <w:rsid w:val="00C571B2"/>
    <w:rsid w:val="00C66708"/>
    <w:rsid w:val="00C76E7D"/>
    <w:rsid w:val="00C853E8"/>
    <w:rsid w:val="00C92C35"/>
    <w:rsid w:val="00CA4B5A"/>
    <w:rsid w:val="00CD504F"/>
    <w:rsid w:val="00CE3766"/>
    <w:rsid w:val="00CF2438"/>
    <w:rsid w:val="00D16504"/>
    <w:rsid w:val="00D21408"/>
    <w:rsid w:val="00D218E7"/>
    <w:rsid w:val="00D31896"/>
    <w:rsid w:val="00D35A58"/>
    <w:rsid w:val="00D45BFD"/>
    <w:rsid w:val="00D61E6A"/>
    <w:rsid w:val="00D86238"/>
    <w:rsid w:val="00D87446"/>
    <w:rsid w:val="00D875DD"/>
    <w:rsid w:val="00D91340"/>
    <w:rsid w:val="00DA1946"/>
    <w:rsid w:val="00DB1D8B"/>
    <w:rsid w:val="00DB5D26"/>
    <w:rsid w:val="00DC3D98"/>
    <w:rsid w:val="00DC725E"/>
    <w:rsid w:val="00DF305F"/>
    <w:rsid w:val="00DF3730"/>
    <w:rsid w:val="00E027DF"/>
    <w:rsid w:val="00E05468"/>
    <w:rsid w:val="00E3302B"/>
    <w:rsid w:val="00E36A82"/>
    <w:rsid w:val="00E433E9"/>
    <w:rsid w:val="00E558DA"/>
    <w:rsid w:val="00E64966"/>
    <w:rsid w:val="00E65502"/>
    <w:rsid w:val="00E71C86"/>
    <w:rsid w:val="00E853F2"/>
    <w:rsid w:val="00E85A8A"/>
    <w:rsid w:val="00E90C9E"/>
    <w:rsid w:val="00EB0839"/>
    <w:rsid w:val="00EE1F7C"/>
    <w:rsid w:val="00F10CF8"/>
    <w:rsid w:val="00F139B6"/>
    <w:rsid w:val="00F31EBB"/>
    <w:rsid w:val="00F54668"/>
    <w:rsid w:val="00F63078"/>
    <w:rsid w:val="00F70F7C"/>
    <w:rsid w:val="00F8202E"/>
    <w:rsid w:val="00F90A27"/>
    <w:rsid w:val="00F91308"/>
    <w:rsid w:val="00F97C55"/>
    <w:rsid w:val="00FA54BB"/>
    <w:rsid w:val="00FB38DA"/>
    <w:rsid w:val="00FB6B94"/>
    <w:rsid w:val="00FF1BEF"/>
    <w:rsid w:val="00FF5321"/>
    <w:rsid w:val="00FF6615"/>
  </w:rsids>
  <w:docVars>
    <w:docVar w:name="Registered" w:val="-1"/>
    <w:docVar w:name="Version" w:val="0"/>
  </w:docVars>
  <m:mathPr>
    <m:mathFont m:val="Cambria Math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FEBFE65-CC3D-42AA-91F8-788590B3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1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rsid w:val="00A76DC5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Normal"/>
    <w:link w:val="FooterAgencyCharChar"/>
    <w:rsid w:val="009F71DA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735C35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D35A58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Arial Narrow" w:hAnsi="Arial Narrow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E36A8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Kalinga" w:hAnsi="Kaling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rsid w:val="00B81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1056"/>
    <w:rPr>
      <w:sz w:val="22"/>
      <w:lang w:eastAsia="zh-CN"/>
    </w:rPr>
  </w:style>
  <w:style w:type="paragraph" w:styleId="BalloonText">
    <w:name w:val="Balloon Text"/>
    <w:basedOn w:val="Normal"/>
    <w:link w:val="BalloonTextChar"/>
    <w:rsid w:val="001C3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37EB"/>
    <w:rPr>
      <w:rFonts w:ascii="Segoe UI" w:hAnsi="Segoe UI" w:cs="Segoe UI"/>
      <w:sz w:val="18"/>
      <w:szCs w:val="18"/>
    </w:rPr>
  </w:style>
  <w:style w:type="character" w:customStyle="1" w:styleId="PageNumberAgency0">
    <w:name w:val="Page Number (Agency)"/>
    <w:rsid w:val="009F71DA"/>
    <w:rPr>
      <w:rFonts w:ascii="Verdana" w:hAnsi="Verdana"/>
      <w:sz w:val="14"/>
    </w:rPr>
  </w:style>
  <w:style w:type="paragraph" w:customStyle="1" w:styleId="Heading3AgencyNEW">
    <w:name w:val="Heading 3 Agency NEW"/>
    <w:basedOn w:val="Normal"/>
    <w:next w:val="Normal"/>
    <w:qFormat/>
    <w:rsid w:val="00A32F90"/>
    <w:pPr>
      <w:keepNext/>
      <w:pBdr>
        <w:bottom w:val="single" w:sz="18" w:space="1" w:color="003399"/>
      </w:pBdr>
      <w:tabs>
        <w:tab w:val="num" w:pos="851"/>
        <w:tab w:val="left" w:pos="1134"/>
      </w:tabs>
      <w:spacing w:before="280" w:after="220"/>
      <w:ind w:left="992" w:hanging="992"/>
      <w:outlineLvl w:val="2"/>
    </w:pPr>
    <w:rPr>
      <w:rFonts w:ascii="Verdana" w:eastAsia="Verdana" w:hAnsi="Verdana" w:cs="Arial"/>
      <w:bCs/>
      <w:color w:val="003399"/>
      <w:kern w:val="32"/>
      <w:sz w:val="20"/>
      <w:szCs w:val="18"/>
      <w:lang w:eastAsia="en-GB"/>
    </w:rPr>
  </w:style>
  <w:style w:type="numbering" w:customStyle="1" w:styleId="ArticleSection1314">
    <w:name w:val="Article / Section1314"/>
    <w:rsid w:val="00A32F90"/>
  </w:style>
  <w:style w:type="paragraph" w:customStyle="1" w:styleId="Heading2Agency0">
    <w:name w:val="Heading 2 Agency"/>
    <w:basedOn w:val="Heading2Agency"/>
    <w:qFormat/>
    <w:rsid w:val="00A32F90"/>
    <w:pPr>
      <w:tabs>
        <w:tab w:val="num" w:pos="851"/>
        <w:tab w:val="left" w:pos="1134"/>
      </w:tabs>
      <w:ind w:left="992" w:hanging="992"/>
    </w:pPr>
    <w:rPr>
      <w:i w:val="0"/>
      <w:color w:val="003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1C322D5B</Template>
  <TotalTime>35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ETF meeting on COVID-19 vaccines - 26 November 2020</vt:lpstr>
    </vt:vector>
  </TitlesOfParts>
  <Company>European Medicines Agency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ETF meeting on COVID-19 vaccines - 26 November 2020</dc:title>
  <dc:creator>Mura Manuela</dc:creator>
  <cp:lastModifiedBy>Turobos Katarzyna</cp:lastModifiedBy>
  <cp:revision>4</cp:revision>
  <cp:lastPrinted>2020-03-26T16:33:00Z</cp:lastPrinted>
  <dcterms:created xsi:type="dcterms:W3CDTF">2020-11-20T15:09:00Z</dcterms:created>
  <dcterms:modified xsi:type="dcterms:W3CDTF">2020-11-26T08:57:00Z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Agenda</vt:lpwstr>
  </property>
  <property fmtid="{D5CDD505-2E9C-101B-9397-08002B2CF9AE}" pid="5" name="DM_Creation_Date">
    <vt:lpwstr>26/11/2020 09:57:27</vt:lpwstr>
  </property>
  <property fmtid="{D5CDD505-2E9C-101B-9397-08002B2CF9AE}" pid="6" name="DM_Creator_Name">
    <vt:lpwstr>Turobos Katarzyna</vt:lpwstr>
  </property>
  <property fmtid="{D5CDD505-2E9C-101B-9397-08002B2CF9AE}" pid="7" name="DM_DocRefId">
    <vt:lpwstr>EMA/628963/2020</vt:lpwstr>
  </property>
  <property fmtid="{D5CDD505-2E9C-101B-9397-08002B2CF9AE}" pid="8" name="DM_emea_doc_ref_id">
    <vt:lpwstr>EMA/628963/2020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Turobos Katarzyna</vt:lpwstr>
  </property>
  <property fmtid="{D5CDD505-2E9C-101B-9397-08002B2CF9AE}" pid="12" name="DM_Modified_Date">
    <vt:lpwstr>26/11/2020 09:57:27</vt:lpwstr>
  </property>
  <property fmtid="{D5CDD505-2E9C-101B-9397-08002B2CF9AE}" pid="13" name="DM_Modifier_Name">
    <vt:lpwstr>Turobos Katarzyna</vt:lpwstr>
  </property>
  <property fmtid="{D5CDD505-2E9C-101B-9397-08002B2CF9AE}" pid="14" name="DM_Modify_Date">
    <vt:lpwstr>26/11/2020 09:57:27</vt:lpwstr>
  </property>
  <property fmtid="{D5CDD505-2E9C-101B-9397-08002B2CF9AE}" pid="15" name="DM_Name">
    <vt:lpwstr>Agenda for ETF meeting on COVID-19 vaccines - 26 November 2020</vt:lpwstr>
  </property>
  <property fmtid="{D5CDD505-2E9C-101B-9397-08002B2CF9AE}" pid="16" name="DM_Path">
    <vt:lpwstr>/14. Working areas/14.05 H-Division/04. H-QS Activities/04. H-QS-PHV/COVID-19/01. COVID19 pandemic/06. ETF meetings/2020/11 November 2020/2020-11-26 ETF (vaccines)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1.1,CURRENT</vt:lpwstr>
  </property>
  <property fmtid="{D5CDD505-2E9C-101B-9397-08002B2CF9AE}" pid="22" name="MSIP_Label_0eea11ca-d417-4147-80ed-01a58412c458_ActionId">
    <vt:lpwstr>c8b71751-3c9d-4cd1-aae3-79c0d78daf82</vt:lpwstr>
  </property>
  <property fmtid="{D5CDD505-2E9C-101B-9397-08002B2CF9AE}" pid="23" name="MSIP_Label_0eea11ca-d417-4147-80ed-01a58412c458_Application">
    <vt:lpwstr>Microsoft Azure Information Protection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Extended_MSFT_Method">
    <vt:lpwstr>Automatic</vt:lpwstr>
  </property>
  <property fmtid="{D5CDD505-2E9C-101B-9397-08002B2CF9AE}" pid="26" name="MSIP_Label_0eea11ca-d417-4147-80ed-01a58412c458_Name">
    <vt:lpwstr>All EMA Staff and Contractors</vt:lpwstr>
  </property>
  <property fmtid="{D5CDD505-2E9C-101B-9397-08002B2CF9AE}" pid="27" name="MSIP_Label_0eea11ca-d417-4147-80ed-01a58412c458_Owner">
    <vt:lpwstr>Manuela.Mura@ema.europa.eu</vt:lpwstr>
  </property>
  <property fmtid="{D5CDD505-2E9C-101B-9397-08002B2CF9AE}" pid="28" name="MSIP_Label_0eea11ca-d417-4147-80ed-01a58412c458_Parent">
    <vt:lpwstr>afe1b31d-cec0-4074-b4bd-f07689e43d84</vt:lpwstr>
  </property>
  <property fmtid="{D5CDD505-2E9C-101B-9397-08002B2CF9AE}" pid="29" name="MSIP_Label_0eea11ca-d417-4147-80ed-01a58412c458_SetDate">
    <vt:lpwstr>2020-02-03T09:01:38.4280134Z</vt:lpwstr>
  </property>
  <property fmtid="{D5CDD505-2E9C-101B-9397-08002B2CF9AE}" pid="30" name="MSIP_Label_0eea11ca-d417-4147-80ed-01a58412c458_SiteId">
    <vt:lpwstr>bc9dc15c-61bc-4f03-b60b-e5b6d8922839</vt:lpwstr>
  </property>
  <property fmtid="{D5CDD505-2E9C-101B-9397-08002B2CF9AE}" pid="31" name="MSIP_Label_afe1b31d-cec0-4074-b4bd-f07689e43d84_ActionId">
    <vt:lpwstr>c8b71751-3c9d-4cd1-aae3-79c0d78daf82</vt:lpwstr>
  </property>
  <property fmtid="{D5CDD505-2E9C-101B-9397-08002B2CF9AE}" pid="32" name="MSIP_Label_afe1b31d-cec0-4074-b4bd-f07689e43d84_Application">
    <vt:lpwstr>Microsoft Azure Information Protection</vt:lpwstr>
  </property>
  <property fmtid="{D5CDD505-2E9C-101B-9397-08002B2CF9AE}" pid="33" name="MSIP_Label_afe1b31d-cec0-4074-b4bd-f07689e43d84_Enabled">
    <vt:lpwstr>True</vt:lpwstr>
  </property>
  <property fmtid="{D5CDD505-2E9C-101B-9397-08002B2CF9AE}" pid="34" name="MSIP_Label_afe1b31d-cec0-4074-b4bd-f07689e43d84_Extended_MSFT_Method">
    <vt:lpwstr>Automatic</vt:lpwstr>
  </property>
  <property fmtid="{D5CDD505-2E9C-101B-9397-08002B2CF9AE}" pid="35" name="MSIP_Label_afe1b31d-cec0-4074-b4bd-f07689e43d84_Name">
    <vt:lpwstr>Internal</vt:lpwstr>
  </property>
  <property fmtid="{D5CDD505-2E9C-101B-9397-08002B2CF9AE}" pid="36" name="MSIP_Label_afe1b31d-cec0-4074-b4bd-f07689e43d84_Owner">
    <vt:lpwstr>Manuela.Mura@ema.europa.eu</vt:lpwstr>
  </property>
  <property fmtid="{D5CDD505-2E9C-101B-9397-08002B2CF9AE}" pid="37" name="MSIP_Label_afe1b31d-cec0-4074-b4bd-f07689e43d84_SetDate">
    <vt:lpwstr>2020-02-03T09:01:38.4280134Z</vt:lpwstr>
  </property>
  <property fmtid="{D5CDD505-2E9C-101B-9397-08002B2CF9AE}" pid="38" name="MSIP_Label_afe1b31d-cec0-4074-b4bd-f07689e43d84_SiteId">
    <vt:lpwstr>bc9dc15c-61bc-4f03-b60b-e5b6d8922839</vt:lpwstr>
  </property>
</Properties>
</file>